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BB0BE3" w14:paraId="5412CFEC" w14:textId="77777777" w:rsidTr="00BB0BE3">
        <w:tc>
          <w:tcPr>
            <w:tcW w:w="2335" w:type="dxa"/>
          </w:tcPr>
          <w:p w14:paraId="5390F59E" w14:textId="5AD87A3B" w:rsidR="00BB0BE3" w:rsidRPr="00BB0BE3" w:rsidRDefault="00BB0BE3" w:rsidP="00BB0BE3">
            <w:pPr>
              <w:pStyle w:val="NoSpacing"/>
              <w:rPr>
                <w:rFonts w:ascii="Arial" w:hAnsi="Arial" w:cs="Arial"/>
              </w:rPr>
            </w:pPr>
            <w:r w:rsidRPr="00BB0BE3">
              <w:rPr>
                <w:rFonts w:ascii="Arial" w:hAnsi="Arial" w:cs="Arial"/>
              </w:rPr>
              <w:t>County Emphasis</w:t>
            </w:r>
          </w:p>
        </w:tc>
        <w:tc>
          <w:tcPr>
            <w:tcW w:w="7015" w:type="dxa"/>
          </w:tcPr>
          <w:p w14:paraId="345B4574" w14:textId="77777777" w:rsidR="00BB0BE3" w:rsidRPr="00BB0BE3" w:rsidRDefault="00BB0BE3" w:rsidP="00BB0BE3">
            <w:pPr>
              <w:pStyle w:val="NoSpacing"/>
              <w:rPr>
                <w:rFonts w:ascii="Arial" w:hAnsi="Arial" w:cs="Arial"/>
              </w:rPr>
            </w:pPr>
          </w:p>
          <w:p w14:paraId="68DADE41" w14:textId="77777777" w:rsidR="00BB0BE3" w:rsidRPr="00BB0BE3" w:rsidRDefault="00BB0BE3" w:rsidP="00BB0BE3">
            <w:pPr>
              <w:pStyle w:val="NoSpacing"/>
              <w:rPr>
                <w:rFonts w:ascii="Arial" w:hAnsi="Arial" w:cs="Arial"/>
              </w:rPr>
            </w:pPr>
          </w:p>
          <w:p w14:paraId="5910D616" w14:textId="77777777" w:rsidR="00BB0BE3" w:rsidRPr="00BB0BE3" w:rsidRDefault="00BB0BE3" w:rsidP="00BB0BE3">
            <w:pPr>
              <w:pStyle w:val="NoSpacing"/>
              <w:rPr>
                <w:rFonts w:ascii="Arial" w:hAnsi="Arial" w:cs="Arial"/>
              </w:rPr>
            </w:pPr>
          </w:p>
          <w:p w14:paraId="5E0E5968" w14:textId="77777777" w:rsidR="00BB0BE3" w:rsidRPr="00BB0BE3" w:rsidRDefault="00BB0BE3" w:rsidP="00BB0BE3">
            <w:pPr>
              <w:pStyle w:val="NoSpacing"/>
              <w:rPr>
                <w:rFonts w:ascii="Arial" w:hAnsi="Arial" w:cs="Arial"/>
              </w:rPr>
            </w:pPr>
          </w:p>
          <w:p w14:paraId="7B2BA2D5" w14:textId="77777777" w:rsidR="00BB0BE3" w:rsidRPr="00BB0BE3" w:rsidRDefault="00BB0BE3" w:rsidP="00BB0BE3">
            <w:pPr>
              <w:pStyle w:val="NoSpacing"/>
              <w:rPr>
                <w:rFonts w:ascii="Arial" w:hAnsi="Arial" w:cs="Arial"/>
              </w:rPr>
            </w:pPr>
          </w:p>
        </w:tc>
      </w:tr>
    </w:tbl>
    <w:p w14:paraId="00FB7D4C" w14:textId="77777777" w:rsidR="005736E7" w:rsidRPr="00BB0BE3" w:rsidRDefault="005736E7" w:rsidP="00BB0BE3">
      <w:pPr>
        <w:pStyle w:val="NoSpacing"/>
        <w:rPr>
          <w:rFonts w:ascii="Arial" w:hAnsi="Arial" w:cs="Arial"/>
        </w:rPr>
      </w:pPr>
    </w:p>
    <w:p w14:paraId="68DAA639"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1FBDF9BD" w14:textId="77777777" w:rsidTr="00BB0BE3">
        <w:tc>
          <w:tcPr>
            <w:tcW w:w="2335" w:type="dxa"/>
          </w:tcPr>
          <w:p w14:paraId="637541ED" w14:textId="5941D33C" w:rsidR="00BB0BE3" w:rsidRDefault="00BB0BE3" w:rsidP="00BB0BE3">
            <w:pPr>
              <w:pStyle w:val="NoSpacing"/>
              <w:rPr>
                <w:rFonts w:ascii="Arial" w:hAnsi="Arial" w:cs="Arial"/>
              </w:rPr>
            </w:pPr>
            <w:hyperlink r:id="rId7" w:history="1">
              <w:r w:rsidRPr="00700972">
                <w:rPr>
                  <w:rStyle w:val="Hyperlink"/>
                  <w:rFonts w:ascii="Arial" w:hAnsi="Arial" w:cs="Arial"/>
                </w:rPr>
                <w:t>Concentration</w:t>
              </w:r>
            </w:hyperlink>
          </w:p>
          <w:p w14:paraId="6E07D7E7" w14:textId="08A9C631" w:rsidR="00090B9F" w:rsidRPr="00700972" w:rsidRDefault="00090B9F" w:rsidP="00BB0BE3">
            <w:pPr>
              <w:pStyle w:val="NoSpacing"/>
              <w:rPr>
                <w:rFonts w:ascii="Arial" w:hAnsi="Arial" w:cs="Arial"/>
                <w:i/>
                <w:iCs/>
              </w:rPr>
            </w:pPr>
            <w:r w:rsidRPr="00700972">
              <w:rPr>
                <w:rFonts w:ascii="Arial" w:hAnsi="Arial" w:cs="Arial"/>
                <w:i/>
                <w:iCs/>
                <w:sz w:val="22"/>
                <w:szCs w:val="22"/>
              </w:rPr>
              <w:t xml:space="preserve">(select </w:t>
            </w:r>
            <w:r w:rsidR="006E0D6C">
              <w:rPr>
                <w:rFonts w:ascii="Arial" w:hAnsi="Arial" w:cs="Arial"/>
                <w:i/>
                <w:iCs/>
                <w:sz w:val="22"/>
                <w:szCs w:val="22"/>
              </w:rPr>
              <w:t>up to 4</w:t>
            </w:r>
            <w:r w:rsidRPr="00700972">
              <w:rPr>
                <w:rFonts w:ascii="Arial" w:hAnsi="Arial" w:cs="Arial"/>
                <w:i/>
                <w:iCs/>
                <w:sz w:val="22"/>
                <w:szCs w:val="22"/>
              </w:rPr>
              <w:t xml:space="preserve"> from list below</w:t>
            </w:r>
            <w:r w:rsidR="00700972" w:rsidRPr="00700972">
              <w:rPr>
                <w:rFonts w:ascii="Arial" w:hAnsi="Arial" w:cs="Arial"/>
                <w:i/>
                <w:iCs/>
                <w:sz w:val="22"/>
                <w:szCs w:val="22"/>
              </w:rPr>
              <w:t xml:space="preserve"> or the linked website</w:t>
            </w:r>
            <w:r w:rsidRPr="00700972">
              <w:rPr>
                <w:rFonts w:ascii="Arial" w:hAnsi="Arial" w:cs="Arial"/>
                <w:i/>
                <w:iCs/>
                <w:sz w:val="22"/>
                <w:szCs w:val="22"/>
              </w:rPr>
              <w:t>)</w:t>
            </w:r>
          </w:p>
        </w:tc>
        <w:tc>
          <w:tcPr>
            <w:tcW w:w="7015" w:type="dxa"/>
          </w:tcPr>
          <w:p w14:paraId="2C36F969" w14:textId="77777777" w:rsidR="00BB0BE3" w:rsidRPr="00BB0BE3" w:rsidRDefault="00BB0BE3" w:rsidP="00BB0BE3">
            <w:pPr>
              <w:pStyle w:val="NoSpacing"/>
              <w:rPr>
                <w:rFonts w:ascii="Arial" w:hAnsi="Arial" w:cs="Arial"/>
              </w:rPr>
            </w:pPr>
          </w:p>
          <w:p w14:paraId="3DF29EAC" w14:textId="3B981289" w:rsidR="00BB0BE3" w:rsidRPr="00BB0BE3" w:rsidRDefault="001C73BF" w:rsidP="00BB0BE3">
            <w:pPr>
              <w:pStyle w:val="NoSpacing"/>
              <w:rPr>
                <w:rFonts w:ascii="Arial" w:hAnsi="Arial" w:cs="Arial"/>
              </w:rPr>
            </w:pPr>
            <w:r>
              <w:rPr>
                <w:rFonts w:ascii="Arial" w:hAnsi="Arial" w:cs="Arial"/>
              </w:rPr>
              <w:t>Connected and Resilient Communities</w:t>
            </w:r>
          </w:p>
        </w:tc>
      </w:tr>
    </w:tbl>
    <w:p w14:paraId="63AC23EC" w14:textId="5646959D" w:rsidR="00BB0BE3" w:rsidRPr="00BB0BE3" w:rsidRDefault="00BB0BE3" w:rsidP="00BB0BE3">
      <w:pPr>
        <w:pStyle w:val="NoSpacing"/>
        <w:rPr>
          <w:rFonts w:ascii="Arial" w:hAnsi="Arial" w:cs="Arial"/>
        </w:rPr>
      </w:pPr>
    </w:p>
    <w:p w14:paraId="12078353"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65839839" w14:textId="77777777" w:rsidTr="00BB0BE3">
        <w:tc>
          <w:tcPr>
            <w:tcW w:w="2335" w:type="dxa"/>
          </w:tcPr>
          <w:p w14:paraId="205A9D1E" w14:textId="77777777" w:rsidR="00BB0BE3" w:rsidRDefault="00BB0BE3" w:rsidP="00BB0BE3">
            <w:pPr>
              <w:pStyle w:val="NoSpacing"/>
              <w:rPr>
                <w:rFonts w:ascii="Arial" w:hAnsi="Arial" w:cs="Arial"/>
              </w:rPr>
            </w:pPr>
            <w:hyperlink r:id="rId8" w:history="1">
              <w:r w:rsidRPr="00700972">
                <w:rPr>
                  <w:rStyle w:val="Hyperlink"/>
                  <w:rFonts w:ascii="Arial" w:hAnsi="Arial" w:cs="Arial"/>
                </w:rPr>
                <w:t>Situation</w:t>
              </w:r>
            </w:hyperlink>
          </w:p>
          <w:p w14:paraId="0F9063AD" w14:textId="246ECC62" w:rsidR="00700972" w:rsidRPr="00700972" w:rsidRDefault="00700972" w:rsidP="00BB0BE3">
            <w:pPr>
              <w:pStyle w:val="NoSpacing"/>
              <w:rPr>
                <w:rFonts w:ascii="Arial" w:hAnsi="Arial" w:cs="Arial"/>
                <w:i/>
                <w:iCs/>
              </w:rPr>
            </w:pPr>
            <w:r w:rsidRPr="00700972">
              <w:rPr>
                <w:rFonts w:ascii="Arial" w:hAnsi="Arial" w:cs="Arial"/>
                <w:i/>
                <w:iCs/>
                <w:sz w:val="22"/>
                <w:szCs w:val="22"/>
              </w:rPr>
              <w:t>(situation statements can be found at the linked website)</w:t>
            </w:r>
          </w:p>
        </w:tc>
        <w:tc>
          <w:tcPr>
            <w:tcW w:w="7015" w:type="dxa"/>
          </w:tcPr>
          <w:p w14:paraId="6633A72D" w14:textId="77777777" w:rsidR="00BB0BE3" w:rsidRPr="00BB0BE3" w:rsidRDefault="00BB0BE3" w:rsidP="00BB0BE3">
            <w:pPr>
              <w:pStyle w:val="NoSpacing"/>
              <w:rPr>
                <w:rFonts w:ascii="Arial" w:hAnsi="Arial" w:cs="Arial"/>
              </w:rPr>
            </w:pPr>
          </w:p>
          <w:p w14:paraId="223CF780" w14:textId="77777777" w:rsidR="001C73BF" w:rsidRPr="001C73BF" w:rsidRDefault="001C73BF" w:rsidP="001C73BF">
            <w:pPr>
              <w:pStyle w:val="NoSpacing"/>
              <w:rPr>
                <w:rFonts w:ascii="Arial" w:hAnsi="Arial" w:cs="Arial"/>
              </w:rPr>
            </w:pPr>
            <w:r w:rsidRPr="001C73BF">
              <w:rPr>
                <w:rFonts w:ascii="Arial" w:hAnsi="Arial" w:cs="Arial"/>
              </w:rPr>
              <w:t>Kentucky’s communities face unique challenges that require enhancing connectivity and resilience through digital access, social cohesion, and well-designed public spaces. Broadband access remains critical, particularly in rural areas where digital connectivity gaps hinder economic and educational opportunities. The 2023 Community Needs Assessment identified improved broadband and digital literacy as top priorities for enhancing community resilience.</w:t>
            </w:r>
          </w:p>
          <w:p w14:paraId="17EFA9B7" w14:textId="77777777" w:rsidR="001C73BF" w:rsidRPr="001C73BF" w:rsidRDefault="001C73BF" w:rsidP="001C73BF">
            <w:pPr>
              <w:pStyle w:val="NoSpacing"/>
              <w:rPr>
                <w:rFonts w:ascii="Arial" w:hAnsi="Arial" w:cs="Arial"/>
              </w:rPr>
            </w:pPr>
          </w:p>
          <w:p w14:paraId="604E9E81" w14:textId="77777777" w:rsidR="001C73BF" w:rsidRPr="001C73BF" w:rsidRDefault="001C73BF" w:rsidP="001C73BF">
            <w:pPr>
              <w:pStyle w:val="NoSpacing"/>
              <w:rPr>
                <w:rFonts w:ascii="Arial" w:hAnsi="Arial" w:cs="Arial"/>
              </w:rPr>
            </w:pPr>
            <w:r w:rsidRPr="001C73BF">
              <w:rPr>
                <w:rFonts w:ascii="Arial" w:hAnsi="Arial" w:cs="Arial"/>
              </w:rPr>
              <w:t>Extension’s connectivity and resilience efforts focus on supporting local economies and helping communities recover from economic shifts and natural disasters (CEDIK, 2024). By promoting digital literacy, educating on safe and vibrant outdoor spaces, and implementing place-based disaster preparedness programs, Extension strengthens community connections and economic sustainability. These initiatives benefit residents, businesses, and local governments, fostering stronger, more resilient communities equipped to face future challenges.</w:t>
            </w:r>
          </w:p>
          <w:p w14:paraId="4323B093" w14:textId="77777777" w:rsidR="001C73BF" w:rsidRPr="001C73BF" w:rsidRDefault="001C73BF" w:rsidP="001C73BF">
            <w:pPr>
              <w:pStyle w:val="NoSpacing"/>
              <w:rPr>
                <w:rFonts w:ascii="Arial" w:hAnsi="Arial" w:cs="Arial"/>
              </w:rPr>
            </w:pPr>
          </w:p>
          <w:p w14:paraId="4B39DEF4" w14:textId="77777777" w:rsidR="001C73BF" w:rsidRPr="001C73BF" w:rsidRDefault="001C73BF" w:rsidP="001C73BF">
            <w:pPr>
              <w:pStyle w:val="NoSpacing"/>
              <w:rPr>
                <w:rFonts w:ascii="Arial" w:hAnsi="Arial" w:cs="Arial"/>
              </w:rPr>
            </w:pPr>
            <w:r w:rsidRPr="001C73BF">
              <w:rPr>
                <w:rFonts w:ascii="Arial" w:hAnsi="Arial" w:cs="Arial"/>
              </w:rPr>
              <w:t>Youth Focus</w:t>
            </w:r>
          </w:p>
          <w:p w14:paraId="062B1188" w14:textId="77777777" w:rsidR="001C73BF" w:rsidRPr="001C73BF" w:rsidRDefault="001C73BF" w:rsidP="001C73BF">
            <w:pPr>
              <w:pStyle w:val="NoSpacing"/>
              <w:rPr>
                <w:rFonts w:ascii="Arial" w:hAnsi="Arial" w:cs="Arial"/>
              </w:rPr>
            </w:pPr>
          </w:p>
          <w:p w14:paraId="314CAC88" w14:textId="3D4C4E8C" w:rsidR="00BB0BE3" w:rsidRPr="00BB0BE3" w:rsidRDefault="001C73BF" w:rsidP="001C73BF">
            <w:pPr>
              <w:pStyle w:val="NoSpacing"/>
              <w:rPr>
                <w:rFonts w:ascii="Arial" w:hAnsi="Arial" w:cs="Arial"/>
              </w:rPr>
            </w:pPr>
            <w:r w:rsidRPr="001C73BF">
              <w:rPr>
                <w:rFonts w:ascii="Arial" w:hAnsi="Arial" w:cs="Arial"/>
              </w:rPr>
              <w:t xml:space="preserve">In today’s rapidly evolving world, youth are and can play a pivotal role in shaping the future of connected and resilient communities. Young people are leveraging technology and social networks to foster strong, supportive relationships that transcend geographical boundaries. They are actively engaged in community-building activities, promoting access to opportunity, and driving change. By participating in local and </w:t>
            </w:r>
            <w:r w:rsidRPr="001C73BF">
              <w:rPr>
                <w:rFonts w:ascii="Arial" w:hAnsi="Arial" w:cs="Arial"/>
              </w:rPr>
              <w:lastRenderedPageBreak/>
              <w:t>global initiatives, they are not only enhancing their own resilience but also contributing to the overall strength and adaptability of their communities. Their innovative approaches to problem-solving and their commitment to sustainability are essential in addressing the complex challenges of the 21st century. As they continue to collaborate and share knowledge, youth are laying the foundation for a more connected and resilient world. 4-H is committed to providing the resources necessary to promote youth connection in their communities. Thriving youth are healthy, productive, and engaged (Arnold, 2024). Communities that promote the indicators of youth thriving will have more connected, capable, and committed citizens that can critically think through addressing the needs and priorities of their community.</w:t>
            </w:r>
          </w:p>
        </w:tc>
      </w:tr>
    </w:tbl>
    <w:p w14:paraId="34C55EF5" w14:textId="77777777" w:rsidR="00BB0BE3" w:rsidRPr="00BB0BE3" w:rsidRDefault="00BB0BE3" w:rsidP="00BB0BE3">
      <w:pPr>
        <w:pStyle w:val="NoSpacing"/>
        <w:rPr>
          <w:rFonts w:ascii="Arial" w:hAnsi="Arial" w:cs="Arial"/>
        </w:rPr>
      </w:pPr>
    </w:p>
    <w:p w14:paraId="201278C8"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1137B8E0" w14:textId="77777777" w:rsidTr="00BB0BE3">
        <w:tc>
          <w:tcPr>
            <w:tcW w:w="2335" w:type="dxa"/>
          </w:tcPr>
          <w:p w14:paraId="57A8CC73" w14:textId="27C77664" w:rsidR="00BB0BE3" w:rsidRPr="00BB0BE3" w:rsidRDefault="00BB0BE3" w:rsidP="00BB0BE3">
            <w:pPr>
              <w:pStyle w:val="NoSpacing"/>
              <w:rPr>
                <w:rFonts w:ascii="Arial" w:hAnsi="Arial" w:cs="Arial"/>
              </w:rPr>
            </w:pPr>
            <w:r w:rsidRPr="00BB0BE3">
              <w:rPr>
                <w:rFonts w:ascii="Arial" w:hAnsi="Arial" w:cs="Arial"/>
              </w:rPr>
              <w:t>County Situation</w:t>
            </w:r>
          </w:p>
        </w:tc>
        <w:tc>
          <w:tcPr>
            <w:tcW w:w="7015" w:type="dxa"/>
          </w:tcPr>
          <w:p w14:paraId="457EDCB0" w14:textId="77777777" w:rsidR="00BB0BE3" w:rsidRPr="00BB0BE3" w:rsidRDefault="00BB0BE3" w:rsidP="00BB0BE3">
            <w:pPr>
              <w:pStyle w:val="NoSpacing"/>
              <w:rPr>
                <w:rFonts w:ascii="Arial" w:hAnsi="Arial" w:cs="Arial"/>
              </w:rPr>
            </w:pPr>
          </w:p>
          <w:p w14:paraId="01B82A34" w14:textId="77777777" w:rsidR="00BB0BE3" w:rsidRPr="00BB0BE3" w:rsidRDefault="00BB0BE3" w:rsidP="00BB0BE3">
            <w:pPr>
              <w:pStyle w:val="NoSpacing"/>
              <w:rPr>
                <w:rFonts w:ascii="Arial" w:hAnsi="Arial" w:cs="Arial"/>
              </w:rPr>
            </w:pPr>
          </w:p>
        </w:tc>
      </w:tr>
    </w:tbl>
    <w:p w14:paraId="55BB907A" w14:textId="77777777" w:rsidR="00BB0BE3" w:rsidRPr="00BB0BE3" w:rsidRDefault="00BB0BE3" w:rsidP="00BB0BE3">
      <w:pPr>
        <w:pStyle w:val="NoSpacing"/>
        <w:rPr>
          <w:rFonts w:ascii="Arial" w:hAnsi="Arial" w:cs="Arial"/>
        </w:rPr>
      </w:pPr>
    </w:p>
    <w:p w14:paraId="2B463A97"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6C42A249" w14:textId="77777777" w:rsidTr="00BB0BE3">
        <w:tc>
          <w:tcPr>
            <w:tcW w:w="2335" w:type="dxa"/>
          </w:tcPr>
          <w:p w14:paraId="518F3C9B" w14:textId="77777777" w:rsidR="00BB0BE3" w:rsidRPr="00BB0BE3" w:rsidRDefault="00BB0BE3" w:rsidP="00BB0BE3">
            <w:pPr>
              <w:pStyle w:val="NoSpacing"/>
              <w:rPr>
                <w:rFonts w:ascii="Arial" w:hAnsi="Arial" w:cs="Arial"/>
              </w:rPr>
            </w:pPr>
            <w:r w:rsidRPr="00BB0BE3">
              <w:rPr>
                <w:rFonts w:ascii="Arial" w:hAnsi="Arial" w:cs="Arial"/>
              </w:rPr>
              <w:t xml:space="preserve">Long-term </w:t>
            </w:r>
          </w:p>
          <w:p w14:paraId="30178416" w14:textId="6B40F542" w:rsidR="00BB0BE3" w:rsidRPr="00BB0BE3" w:rsidRDefault="00BB0BE3" w:rsidP="00BB0BE3">
            <w:pPr>
              <w:pStyle w:val="NoSpacing"/>
              <w:rPr>
                <w:rFonts w:ascii="Arial" w:hAnsi="Arial" w:cs="Arial"/>
              </w:rPr>
            </w:pPr>
            <w:r w:rsidRPr="00BB0BE3">
              <w:rPr>
                <w:rFonts w:ascii="Arial" w:hAnsi="Arial" w:cs="Arial"/>
              </w:rPr>
              <w:t>Outcomes</w:t>
            </w:r>
          </w:p>
        </w:tc>
        <w:tc>
          <w:tcPr>
            <w:tcW w:w="7015" w:type="dxa"/>
          </w:tcPr>
          <w:p w14:paraId="7D6E4E8F" w14:textId="77777777" w:rsidR="001C73BF" w:rsidRPr="001C73BF" w:rsidRDefault="001C73BF" w:rsidP="001C73BF">
            <w:pPr>
              <w:pStyle w:val="NoSpacing"/>
              <w:numPr>
                <w:ilvl w:val="0"/>
                <w:numId w:val="2"/>
              </w:numPr>
              <w:rPr>
                <w:rFonts w:ascii="Arial" w:hAnsi="Arial" w:cs="Arial"/>
              </w:rPr>
            </w:pPr>
            <w:r w:rsidRPr="001C73BF">
              <w:rPr>
                <w:rFonts w:ascii="Arial" w:hAnsi="Arial" w:cs="Arial"/>
              </w:rPr>
              <w:t>Increased digital access improves economic and educational opportunities.</w:t>
            </w:r>
          </w:p>
          <w:p w14:paraId="0BC8AC41" w14:textId="77777777" w:rsidR="001C73BF" w:rsidRPr="001C73BF" w:rsidRDefault="001C73BF" w:rsidP="001C73BF">
            <w:pPr>
              <w:pStyle w:val="NoSpacing"/>
              <w:numPr>
                <w:ilvl w:val="0"/>
                <w:numId w:val="2"/>
              </w:numPr>
              <w:rPr>
                <w:rFonts w:ascii="Arial" w:hAnsi="Arial" w:cs="Arial"/>
              </w:rPr>
            </w:pPr>
            <w:r w:rsidRPr="001C73BF">
              <w:rPr>
                <w:rFonts w:ascii="Arial" w:hAnsi="Arial" w:cs="Arial"/>
              </w:rPr>
              <w:t>Communities recover faster from disasters/economic disruptions</w:t>
            </w:r>
          </w:p>
          <w:p w14:paraId="2C84FE2D" w14:textId="77777777" w:rsidR="001C73BF" w:rsidRPr="001C73BF" w:rsidRDefault="001C73BF" w:rsidP="001C73BF">
            <w:pPr>
              <w:pStyle w:val="NoSpacing"/>
              <w:numPr>
                <w:ilvl w:val="0"/>
                <w:numId w:val="2"/>
              </w:numPr>
              <w:rPr>
                <w:rFonts w:ascii="Arial" w:hAnsi="Arial" w:cs="Arial"/>
              </w:rPr>
            </w:pPr>
            <w:r w:rsidRPr="001C73BF">
              <w:rPr>
                <w:rFonts w:ascii="Arial" w:hAnsi="Arial" w:cs="Arial"/>
              </w:rPr>
              <w:t>Sustained investment in public spaces strengthens local economies</w:t>
            </w:r>
          </w:p>
          <w:p w14:paraId="0517BF8C" w14:textId="77777777" w:rsidR="001C73BF" w:rsidRPr="001C73BF" w:rsidRDefault="001C73BF" w:rsidP="001C73BF">
            <w:pPr>
              <w:pStyle w:val="NoSpacing"/>
              <w:numPr>
                <w:ilvl w:val="0"/>
                <w:numId w:val="2"/>
              </w:numPr>
              <w:rPr>
                <w:rFonts w:ascii="Arial" w:hAnsi="Arial" w:cs="Arial"/>
              </w:rPr>
            </w:pPr>
            <w:r w:rsidRPr="001C73BF">
              <w:rPr>
                <w:rFonts w:ascii="Arial" w:hAnsi="Arial" w:cs="Arial"/>
              </w:rPr>
              <w:t>Cultural heritage is preserved and integrated into communities</w:t>
            </w:r>
          </w:p>
          <w:p w14:paraId="7B1BFE00" w14:textId="77777777" w:rsidR="001C73BF" w:rsidRPr="001C73BF" w:rsidRDefault="001C73BF" w:rsidP="001C73BF">
            <w:pPr>
              <w:pStyle w:val="NoSpacing"/>
              <w:numPr>
                <w:ilvl w:val="0"/>
                <w:numId w:val="2"/>
              </w:numPr>
              <w:rPr>
                <w:rFonts w:ascii="Arial" w:hAnsi="Arial" w:cs="Arial"/>
              </w:rPr>
            </w:pPr>
            <w:r w:rsidRPr="001C73BF">
              <w:rPr>
                <w:rFonts w:ascii="Arial" w:hAnsi="Arial" w:cs="Arial"/>
              </w:rPr>
              <w:t>Expanded partnerships enhance problem-solving and resource-sharing</w:t>
            </w:r>
          </w:p>
          <w:p w14:paraId="657D64A5" w14:textId="7BEC4347" w:rsidR="00BB0BE3" w:rsidRPr="00BB0BE3" w:rsidRDefault="001C73BF" w:rsidP="001C73BF">
            <w:pPr>
              <w:pStyle w:val="NoSpacing"/>
              <w:numPr>
                <w:ilvl w:val="0"/>
                <w:numId w:val="2"/>
              </w:numPr>
              <w:rPr>
                <w:rFonts w:ascii="Arial" w:hAnsi="Arial" w:cs="Arial"/>
              </w:rPr>
            </w:pPr>
            <w:r w:rsidRPr="001C73BF">
              <w:rPr>
                <w:rFonts w:ascii="Arial" w:hAnsi="Arial" w:cs="Arial"/>
              </w:rPr>
              <w:t>Improved quality of life through connection and civic engagement</w:t>
            </w:r>
          </w:p>
          <w:p w14:paraId="6C2C7B55" w14:textId="77777777" w:rsidR="00BB0BE3" w:rsidRPr="00BB0BE3" w:rsidRDefault="00BB0BE3" w:rsidP="00BB0BE3">
            <w:pPr>
              <w:pStyle w:val="NoSpacing"/>
              <w:rPr>
                <w:rFonts w:ascii="Arial" w:hAnsi="Arial" w:cs="Arial"/>
              </w:rPr>
            </w:pPr>
          </w:p>
          <w:p w14:paraId="1132FDE3" w14:textId="77777777" w:rsidR="00BB0BE3" w:rsidRPr="00BB0BE3" w:rsidRDefault="00BB0BE3" w:rsidP="00BB0BE3">
            <w:pPr>
              <w:pStyle w:val="NoSpacing"/>
              <w:rPr>
                <w:rFonts w:ascii="Arial" w:hAnsi="Arial" w:cs="Arial"/>
              </w:rPr>
            </w:pPr>
          </w:p>
        </w:tc>
      </w:tr>
    </w:tbl>
    <w:p w14:paraId="271B3244" w14:textId="568137AF" w:rsidR="00BB0BE3" w:rsidRPr="00BB0BE3" w:rsidRDefault="00BB0BE3" w:rsidP="00BB0BE3">
      <w:pPr>
        <w:pStyle w:val="NoSpacing"/>
        <w:rPr>
          <w:rFonts w:ascii="Arial" w:hAnsi="Arial" w:cs="Arial"/>
        </w:rPr>
      </w:pPr>
    </w:p>
    <w:p w14:paraId="518CF7D2" w14:textId="74239CD8"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2EED6CA3" w14:textId="77777777" w:rsidTr="00BB0BE3">
        <w:tc>
          <w:tcPr>
            <w:tcW w:w="2335" w:type="dxa"/>
          </w:tcPr>
          <w:p w14:paraId="3BBCF603" w14:textId="77777777" w:rsidR="00BB0BE3" w:rsidRPr="00BB0BE3" w:rsidRDefault="00BB0BE3" w:rsidP="00BB0BE3">
            <w:pPr>
              <w:pStyle w:val="NoSpacing"/>
              <w:rPr>
                <w:rFonts w:ascii="Arial" w:hAnsi="Arial" w:cs="Arial"/>
              </w:rPr>
            </w:pPr>
            <w:r w:rsidRPr="00BB0BE3">
              <w:rPr>
                <w:rFonts w:ascii="Arial" w:hAnsi="Arial" w:cs="Arial"/>
              </w:rPr>
              <w:t>Medium-term</w:t>
            </w:r>
          </w:p>
          <w:p w14:paraId="45D82B68" w14:textId="1C11C803" w:rsidR="00BB0BE3" w:rsidRPr="00BB0BE3" w:rsidRDefault="00BB0BE3" w:rsidP="00BB0BE3">
            <w:pPr>
              <w:pStyle w:val="NoSpacing"/>
              <w:rPr>
                <w:rFonts w:ascii="Arial" w:hAnsi="Arial" w:cs="Arial"/>
              </w:rPr>
            </w:pPr>
            <w:r w:rsidRPr="00BB0BE3">
              <w:rPr>
                <w:rFonts w:ascii="Arial" w:hAnsi="Arial" w:cs="Arial"/>
              </w:rPr>
              <w:t>Outcomes</w:t>
            </w:r>
          </w:p>
        </w:tc>
        <w:tc>
          <w:tcPr>
            <w:tcW w:w="7015" w:type="dxa"/>
          </w:tcPr>
          <w:p w14:paraId="15EC6B7B" w14:textId="77777777" w:rsidR="00BB0BE3" w:rsidRPr="00BB0BE3" w:rsidRDefault="00BB0BE3" w:rsidP="00BB0BE3">
            <w:pPr>
              <w:pStyle w:val="NoSpacing"/>
              <w:rPr>
                <w:rFonts w:ascii="Arial" w:hAnsi="Arial" w:cs="Arial"/>
              </w:rPr>
            </w:pPr>
          </w:p>
          <w:p w14:paraId="46AF0215" w14:textId="77777777" w:rsidR="001C73BF" w:rsidRPr="001C73BF" w:rsidRDefault="001C73BF" w:rsidP="001C73BF">
            <w:pPr>
              <w:pStyle w:val="NoSpacing"/>
              <w:numPr>
                <w:ilvl w:val="0"/>
                <w:numId w:val="3"/>
              </w:numPr>
              <w:rPr>
                <w:rFonts w:ascii="Arial" w:hAnsi="Arial" w:cs="Arial"/>
              </w:rPr>
            </w:pPr>
            <w:r w:rsidRPr="001C73BF">
              <w:rPr>
                <w:rFonts w:ascii="Arial" w:hAnsi="Arial" w:cs="Arial"/>
              </w:rPr>
              <w:t>More citizens adopt digital tools for work and daily life.</w:t>
            </w:r>
          </w:p>
          <w:p w14:paraId="42EFAFE1" w14:textId="77777777" w:rsidR="001C73BF" w:rsidRPr="001C73BF" w:rsidRDefault="001C73BF" w:rsidP="001C73BF">
            <w:pPr>
              <w:pStyle w:val="NoSpacing"/>
              <w:numPr>
                <w:ilvl w:val="0"/>
                <w:numId w:val="3"/>
              </w:numPr>
              <w:rPr>
                <w:rFonts w:ascii="Arial" w:hAnsi="Arial" w:cs="Arial"/>
              </w:rPr>
            </w:pPr>
            <w:r w:rsidRPr="001C73BF">
              <w:rPr>
                <w:rFonts w:ascii="Arial" w:hAnsi="Arial" w:cs="Arial"/>
              </w:rPr>
              <w:t>Communities implement disaster preparedness and recovery strategies.</w:t>
            </w:r>
          </w:p>
          <w:p w14:paraId="003B12D3" w14:textId="77777777" w:rsidR="001C73BF" w:rsidRPr="001C73BF" w:rsidRDefault="001C73BF" w:rsidP="001C73BF">
            <w:pPr>
              <w:pStyle w:val="NoSpacing"/>
              <w:numPr>
                <w:ilvl w:val="0"/>
                <w:numId w:val="3"/>
              </w:numPr>
              <w:rPr>
                <w:rFonts w:ascii="Arial" w:hAnsi="Arial" w:cs="Arial"/>
              </w:rPr>
            </w:pPr>
            <w:r w:rsidRPr="001C73BF">
              <w:rPr>
                <w:rFonts w:ascii="Arial" w:hAnsi="Arial" w:cs="Arial"/>
              </w:rPr>
              <w:t>More public spaces are revitalized for community engagement.</w:t>
            </w:r>
          </w:p>
          <w:p w14:paraId="754DD216" w14:textId="77777777" w:rsidR="001C73BF" w:rsidRPr="001C73BF" w:rsidRDefault="001C73BF" w:rsidP="001C73BF">
            <w:pPr>
              <w:pStyle w:val="NoSpacing"/>
              <w:numPr>
                <w:ilvl w:val="0"/>
                <w:numId w:val="3"/>
              </w:numPr>
              <w:rPr>
                <w:rFonts w:ascii="Arial" w:hAnsi="Arial" w:cs="Arial"/>
              </w:rPr>
            </w:pPr>
            <w:r w:rsidRPr="001C73BF">
              <w:rPr>
                <w:rFonts w:ascii="Arial" w:hAnsi="Arial" w:cs="Arial"/>
              </w:rPr>
              <w:t>Increased participation in cultural and arts-based programs.</w:t>
            </w:r>
          </w:p>
          <w:p w14:paraId="458180FE" w14:textId="77777777" w:rsidR="001C73BF" w:rsidRPr="001C73BF" w:rsidRDefault="001C73BF" w:rsidP="001C73BF">
            <w:pPr>
              <w:pStyle w:val="NoSpacing"/>
              <w:numPr>
                <w:ilvl w:val="0"/>
                <w:numId w:val="3"/>
              </w:numPr>
              <w:rPr>
                <w:rFonts w:ascii="Arial" w:hAnsi="Arial" w:cs="Arial"/>
              </w:rPr>
            </w:pPr>
            <w:r w:rsidRPr="001C73BF">
              <w:rPr>
                <w:rFonts w:ascii="Arial" w:hAnsi="Arial" w:cs="Arial"/>
              </w:rPr>
              <w:t>More individuals engage in local governance and civic groups.</w:t>
            </w:r>
          </w:p>
          <w:p w14:paraId="110604A8" w14:textId="42B9864C" w:rsidR="00BB0BE3" w:rsidRPr="001C73BF" w:rsidRDefault="001C73BF" w:rsidP="00BB0BE3">
            <w:pPr>
              <w:pStyle w:val="NoSpacing"/>
              <w:numPr>
                <w:ilvl w:val="0"/>
                <w:numId w:val="3"/>
              </w:numPr>
              <w:rPr>
                <w:rFonts w:ascii="Arial" w:hAnsi="Arial" w:cs="Arial"/>
              </w:rPr>
            </w:pPr>
            <w:r w:rsidRPr="001C73BF">
              <w:rPr>
                <w:rFonts w:ascii="Arial" w:hAnsi="Arial" w:cs="Arial"/>
              </w:rPr>
              <w:lastRenderedPageBreak/>
              <w:t>New partnerships and networks address community challenges</w:t>
            </w:r>
          </w:p>
        </w:tc>
      </w:tr>
    </w:tbl>
    <w:p w14:paraId="44F2D09A" w14:textId="77777777" w:rsidR="00BB0BE3" w:rsidRPr="00BB0BE3" w:rsidRDefault="00BB0BE3" w:rsidP="00BB0BE3">
      <w:pPr>
        <w:pStyle w:val="NoSpacing"/>
        <w:rPr>
          <w:rFonts w:ascii="Arial" w:hAnsi="Arial" w:cs="Arial"/>
        </w:rPr>
      </w:pPr>
    </w:p>
    <w:p w14:paraId="12335734"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2335"/>
        <w:gridCol w:w="7015"/>
      </w:tblGrid>
      <w:tr w:rsidR="00BB0BE3" w:rsidRPr="00BB0BE3" w14:paraId="0125216C" w14:textId="77777777" w:rsidTr="00BB0BE3">
        <w:tc>
          <w:tcPr>
            <w:tcW w:w="2335" w:type="dxa"/>
          </w:tcPr>
          <w:p w14:paraId="4BE06043" w14:textId="77777777" w:rsidR="00BB0BE3" w:rsidRPr="00BB0BE3" w:rsidRDefault="00BB0BE3" w:rsidP="00BB0BE3">
            <w:pPr>
              <w:pStyle w:val="NoSpacing"/>
              <w:rPr>
                <w:rFonts w:ascii="Arial" w:hAnsi="Arial" w:cs="Arial"/>
              </w:rPr>
            </w:pPr>
            <w:r w:rsidRPr="00BB0BE3">
              <w:rPr>
                <w:rFonts w:ascii="Arial" w:hAnsi="Arial" w:cs="Arial"/>
              </w:rPr>
              <w:t xml:space="preserve">Short-term </w:t>
            </w:r>
          </w:p>
          <w:p w14:paraId="3631E477" w14:textId="2C611A8D" w:rsidR="00BB0BE3" w:rsidRPr="00BB0BE3" w:rsidRDefault="00BB0BE3" w:rsidP="00BB0BE3">
            <w:pPr>
              <w:pStyle w:val="NoSpacing"/>
              <w:rPr>
                <w:rFonts w:ascii="Arial" w:hAnsi="Arial" w:cs="Arial"/>
              </w:rPr>
            </w:pPr>
            <w:r w:rsidRPr="00BB0BE3">
              <w:rPr>
                <w:rFonts w:ascii="Arial" w:hAnsi="Arial" w:cs="Arial"/>
              </w:rPr>
              <w:t>Outcomes</w:t>
            </w:r>
          </w:p>
        </w:tc>
        <w:tc>
          <w:tcPr>
            <w:tcW w:w="7015" w:type="dxa"/>
          </w:tcPr>
          <w:p w14:paraId="6CF14D7E" w14:textId="77777777" w:rsidR="001C73BF" w:rsidRPr="001C73BF" w:rsidRDefault="001C73BF" w:rsidP="001C73BF">
            <w:pPr>
              <w:pStyle w:val="NoSpacing"/>
              <w:numPr>
                <w:ilvl w:val="0"/>
                <w:numId w:val="4"/>
              </w:numPr>
              <w:rPr>
                <w:rFonts w:ascii="Arial" w:hAnsi="Arial" w:cs="Arial"/>
              </w:rPr>
            </w:pPr>
            <w:r w:rsidRPr="001C73BF">
              <w:rPr>
                <w:rFonts w:ascii="Arial" w:hAnsi="Arial" w:cs="Arial"/>
              </w:rPr>
              <w:t>Increased knowledge of digital tools and online resources.</w:t>
            </w:r>
          </w:p>
          <w:p w14:paraId="0036BFB5" w14:textId="77777777" w:rsidR="001C73BF" w:rsidRPr="001C73BF" w:rsidRDefault="001C73BF" w:rsidP="001C73BF">
            <w:pPr>
              <w:pStyle w:val="NoSpacing"/>
              <w:numPr>
                <w:ilvl w:val="0"/>
                <w:numId w:val="4"/>
              </w:numPr>
              <w:rPr>
                <w:rFonts w:ascii="Arial" w:hAnsi="Arial" w:cs="Arial"/>
              </w:rPr>
            </w:pPr>
            <w:r w:rsidRPr="001C73BF">
              <w:rPr>
                <w:rFonts w:ascii="Arial" w:hAnsi="Arial" w:cs="Arial"/>
              </w:rPr>
              <w:t>Improved understanding of disaster preparedness and recovery strategies.</w:t>
            </w:r>
          </w:p>
          <w:p w14:paraId="4F6529A4" w14:textId="77777777" w:rsidR="001C73BF" w:rsidRPr="001C73BF" w:rsidRDefault="001C73BF" w:rsidP="001C73BF">
            <w:pPr>
              <w:pStyle w:val="NoSpacing"/>
              <w:numPr>
                <w:ilvl w:val="0"/>
                <w:numId w:val="4"/>
              </w:numPr>
              <w:rPr>
                <w:rFonts w:ascii="Arial" w:hAnsi="Arial" w:cs="Arial"/>
              </w:rPr>
            </w:pPr>
            <w:r w:rsidRPr="001C73BF">
              <w:rPr>
                <w:rFonts w:ascii="Arial" w:hAnsi="Arial" w:cs="Arial"/>
              </w:rPr>
              <w:t>Greater awareness of the benefits of public spaces.</w:t>
            </w:r>
          </w:p>
          <w:p w14:paraId="76FB5CD5" w14:textId="77777777" w:rsidR="001C73BF" w:rsidRPr="001C73BF" w:rsidRDefault="001C73BF" w:rsidP="001C73BF">
            <w:pPr>
              <w:pStyle w:val="NoSpacing"/>
              <w:numPr>
                <w:ilvl w:val="0"/>
                <w:numId w:val="4"/>
              </w:numPr>
              <w:rPr>
                <w:rFonts w:ascii="Arial" w:hAnsi="Arial" w:cs="Arial"/>
              </w:rPr>
            </w:pPr>
            <w:r w:rsidRPr="001C73BF">
              <w:rPr>
                <w:rFonts w:ascii="Arial" w:hAnsi="Arial" w:cs="Arial"/>
              </w:rPr>
              <w:t>Increased understanding of cultural development and community identity.</w:t>
            </w:r>
          </w:p>
          <w:p w14:paraId="242540F4" w14:textId="77777777" w:rsidR="001C73BF" w:rsidRPr="001C73BF" w:rsidRDefault="001C73BF" w:rsidP="001C73BF">
            <w:pPr>
              <w:pStyle w:val="NoSpacing"/>
              <w:numPr>
                <w:ilvl w:val="0"/>
                <w:numId w:val="4"/>
              </w:numPr>
              <w:rPr>
                <w:rFonts w:ascii="Arial" w:hAnsi="Arial" w:cs="Arial"/>
              </w:rPr>
            </w:pPr>
            <w:r w:rsidRPr="001C73BF">
              <w:rPr>
                <w:rFonts w:ascii="Arial" w:hAnsi="Arial" w:cs="Arial"/>
              </w:rPr>
              <w:t>Improved awareness of civic engagement opportunities.</w:t>
            </w:r>
          </w:p>
          <w:p w14:paraId="33167F79" w14:textId="4439A7EF" w:rsidR="00BB0BE3" w:rsidRPr="00BB0BE3" w:rsidRDefault="001C73BF" w:rsidP="001C73BF">
            <w:pPr>
              <w:pStyle w:val="NoSpacing"/>
              <w:numPr>
                <w:ilvl w:val="0"/>
                <w:numId w:val="4"/>
              </w:numPr>
              <w:rPr>
                <w:rFonts w:ascii="Arial" w:hAnsi="Arial" w:cs="Arial"/>
              </w:rPr>
            </w:pPr>
            <w:r w:rsidRPr="001C73BF">
              <w:rPr>
                <w:rFonts w:ascii="Arial" w:hAnsi="Arial" w:cs="Arial"/>
              </w:rPr>
              <w:t>Greater knowledge of community partnerships and collaboration strategies</w:t>
            </w:r>
          </w:p>
        </w:tc>
      </w:tr>
    </w:tbl>
    <w:p w14:paraId="1F5B68C9" w14:textId="77777777" w:rsidR="00BB0BE3" w:rsidRPr="00BB0BE3" w:rsidRDefault="00BB0BE3" w:rsidP="00BB0BE3">
      <w:pPr>
        <w:pStyle w:val="NoSpacing"/>
        <w:rPr>
          <w:rFonts w:ascii="Arial" w:hAnsi="Arial" w:cs="Arial"/>
        </w:rPr>
      </w:pPr>
    </w:p>
    <w:p w14:paraId="4424D54A" w14:textId="77777777" w:rsidR="00C22BC2" w:rsidRDefault="00C22BC2" w:rsidP="00BB0BE3">
      <w:pPr>
        <w:pStyle w:val="NoSpacing"/>
        <w:rPr>
          <w:rFonts w:ascii="Arial" w:hAnsi="Arial" w:cs="Arial"/>
        </w:rPr>
      </w:pPr>
    </w:p>
    <w:p w14:paraId="7DBCE258" w14:textId="6CB2CE64" w:rsidR="00BB0BE3" w:rsidRPr="00BB0BE3" w:rsidRDefault="00BB0BE3" w:rsidP="00BB0BE3">
      <w:pPr>
        <w:pStyle w:val="NoSpacing"/>
        <w:rPr>
          <w:rFonts w:ascii="Arial" w:hAnsi="Arial" w:cs="Arial"/>
          <w:u w:val="single"/>
        </w:rPr>
      </w:pPr>
      <w:r w:rsidRPr="00BB0BE3">
        <w:rPr>
          <w:rFonts w:ascii="Arial" w:hAnsi="Arial" w:cs="Arial"/>
          <w:u w:val="single"/>
        </w:rPr>
        <w:t>Learning Opportunities</w:t>
      </w:r>
    </w:p>
    <w:p w14:paraId="18210D6F" w14:textId="77777777" w:rsidR="00BB0BE3" w:rsidRPr="00BB0BE3" w:rsidRDefault="00BB0BE3" w:rsidP="00BB0BE3">
      <w:pPr>
        <w:pStyle w:val="NoSpacing"/>
        <w:rPr>
          <w:rFonts w:ascii="Arial" w:hAnsi="Arial" w:cs="Arial"/>
        </w:rPr>
      </w:pPr>
    </w:p>
    <w:tbl>
      <w:tblPr>
        <w:tblStyle w:val="TableGrid"/>
        <w:tblW w:w="0" w:type="auto"/>
        <w:tblInd w:w="184" w:type="dxa"/>
        <w:tblLook w:val="04A0" w:firstRow="1" w:lastRow="0" w:firstColumn="1" w:lastColumn="0" w:noHBand="0" w:noVBand="1"/>
      </w:tblPr>
      <w:tblGrid>
        <w:gridCol w:w="2987"/>
        <w:gridCol w:w="6179"/>
      </w:tblGrid>
      <w:tr w:rsidR="00BB0BE3" w:rsidRPr="00BB0BE3" w14:paraId="4E893348" w14:textId="77777777" w:rsidTr="00E92572">
        <w:tc>
          <w:tcPr>
            <w:tcW w:w="3074" w:type="dxa"/>
          </w:tcPr>
          <w:p w14:paraId="202F3A89" w14:textId="77777777" w:rsidR="00BB0BE3" w:rsidRPr="00BB0BE3" w:rsidRDefault="00BB0BE3" w:rsidP="00E92572">
            <w:pPr>
              <w:pStyle w:val="BodyText"/>
              <w:spacing w:before="185"/>
              <w:jc w:val="right"/>
              <w:rPr>
                <w:spacing w:val="-2"/>
                <w:sz w:val="24"/>
                <w:szCs w:val="24"/>
              </w:rPr>
            </w:pPr>
            <w:r w:rsidRPr="00BB0BE3">
              <w:rPr>
                <w:spacing w:val="-2"/>
                <w:sz w:val="24"/>
                <w:szCs w:val="24"/>
              </w:rPr>
              <w:t>Audience</w:t>
            </w:r>
          </w:p>
        </w:tc>
        <w:tc>
          <w:tcPr>
            <w:tcW w:w="6418" w:type="dxa"/>
          </w:tcPr>
          <w:p w14:paraId="4EE5520A" w14:textId="099A4B9C" w:rsidR="00BB0BE3" w:rsidRPr="00BB0BE3" w:rsidRDefault="001C73BF" w:rsidP="00E92572">
            <w:pPr>
              <w:pStyle w:val="BodyText"/>
              <w:spacing w:before="185"/>
              <w:rPr>
                <w:spacing w:val="-2"/>
                <w:sz w:val="24"/>
                <w:szCs w:val="24"/>
              </w:rPr>
            </w:pPr>
            <w:r w:rsidRPr="001C73BF">
              <w:rPr>
                <w:spacing w:val="-2"/>
                <w:sz w:val="24"/>
                <w:szCs w:val="24"/>
              </w:rPr>
              <w:t>Individuals</w:t>
            </w:r>
          </w:p>
        </w:tc>
      </w:tr>
      <w:tr w:rsidR="00BB0BE3" w:rsidRPr="00BB0BE3" w14:paraId="23328FC0" w14:textId="77777777" w:rsidTr="00E92572">
        <w:tc>
          <w:tcPr>
            <w:tcW w:w="3074" w:type="dxa"/>
          </w:tcPr>
          <w:p w14:paraId="00812F58" w14:textId="77777777" w:rsidR="00BB0BE3" w:rsidRPr="00BB0BE3" w:rsidRDefault="00BB0BE3" w:rsidP="00E92572">
            <w:pPr>
              <w:pStyle w:val="BodyText"/>
              <w:spacing w:before="185"/>
              <w:jc w:val="right"/>
              <w:rPr>
                <w:spacing w:val="-2"/>
                <w:sz w:val="24"/>
                <w:szCs w:val="24"/>
              </w:rPr>
            </w:pPr>
            <w:r w:rsidRPr="00BB0BE3">
              <w:rPr>
                <w:spacing w:val="-2"/>
                <w:sz w:val="24"/>
                <w:szCs w:val="24"/>
              </w:rPr>
              <w:t>Project or Activity</w:t>
            </w:r>
          </w:p>
        </w:tc>
        <w:tc>
          <w:tcPr>
            <w:tcW w:w="6418" w:type="dxa"/>
          </w:tcPr>
          <w:p w14:paraId="770202CE" w14:textId="27654519" w:rsidR="00BB0BE3" w:rsidRPr="00BB0BE3" w:rsidRDefault="001C73BF" w:rsidP="00E92572">
            <w:pPr>
              <w:pStyle w:val="BodyText"/>
              <w:spacing w:before="185"/>
              <w:rPr>
                <w:spacing w:val="-2"/>
                <w:sz w:val="24"/>
                <w:szCs w:val="24"/>
              </w:rPr>
            </w:pPr>
            <w:r w:rsidRPr="001C73BF">
              <w:rPr>
                <w:spacing w:val="-2"/>
                <w:sz w:val="24"/>
                <w:szCs w:val="24"/>
              </w:rPr>
              <w:t>Digital Literacy Initiatives</w:t>
            </w:r>
          </w:p>
        </w:tc>
      </w:tr>
      <w:tr w:rsidR="00BB0BE3" w:rsidRPr="00BB0BE3" w14:paraId="54A34CB4" w14:textId="77777777" w:rsidTr="00E92572">
        <w:tc>
          <w:tcPr>
            <w:tcW w:w="3074" w:type="dxa"/>
          </w:tcPr>
          <w:p w14:paraId="65C181F4" w14:textId="77777777" w:rsidR="00BB0BE3" w:rsidRPr="00BB0BE3" w:rsidRDefault="00BB0BE3" w:rsidP="00E92572">
            <w:pPr>
              <w:pStyle w:val="BodyText"/>
              <w:spacing w:before="185"/>
              <w:jc w:val="right"/>
              <w:rPr>
                <w:spacing w:val="-2"/>
                <w:sz w:val="24"/>
                <w:szCs w:val="24"/>
              </w:rPr>
            </w:pPr>
            <w:r w:rsidRPr="00BB0BE3">
              <w:rPr>
                <w:spacing w:val="-2"/>
                <w:sz w:val="24"/>
                <w:szCs w:val="24"/>
              </w:rPr>
              <w:t>Content or Curriculum</w:t>
            </w:r>
          </w:p>
        </w:tc>
        <w:tc>
          <w:tcPr>
            <w:tcW w:w="6418" w:type="dxa"/>
          </w:tcPr>
          <w:p w14:paraId="4BA3593D" w14:textId="30590253" w:rsidR="00BB0BE3" w:rsidRPr="00BB0BE3" w:rsidRDefault="001C73BF" w:rsidP="00E92572">
            <w:pPr>
              <w:pStyle w:val="BodyText"/>
              <w:spacing w:before="185"/>
              <w:rPr>
                <w:spacing w:val="-2"/>
                <w:sz w:val="24"/>
                <w:szCs w:val="24"/>
              </w:rPr>
            </w:pPr>
            <w:r w:rsidRPr="001C73BF">
              <w:rPr>
                <w:spacing w:val="-2"/>
                <w:sz w:val="24"/>
                <w:szCs w:val="24"/>
              </w:rPr>
              <w:t xml:space="preserve">Digital Literacy curriculum, Kentucky </w:t>
            </w:r>
            <w:proofErr w:type="gramStart"/>
            <w:r w:rsidRPr="001C73BF">
              <w:rPr>
                <w:spacing w:val="-2"/>
                <w:sz w:val="24"/>
                <w:szCs w:val="24"/>
              </w:rPr>
              <w:t>By</w:t>
            </w:r>
            <w:proofErr w:type="gramEnd"/>
            <w:r w:rsidRPr="001C73BF">
              <w:rPr>
                <w:spacing w:val="-2"/>
                <w:sz w:val="24"/>
                <w:szCs w:val="24"/>
              </w:rPr>
              <w:t xml:space="preserve"> the Numbers, CEDIK data profiles, publications, training, continuing education</w:t>
            </w:r>
          </w:p>
        </w:tc>
      </w:tr>
      <w:tr w:rsidR="00BB0BE3" w:rsidRPr="00BB0BE3" w14:paraId="6A2B8991" w14:textId="77777777" w:rsidTr="00E92572">
        <w:tc>
          <w:tcPr>
            <w:tcW w:w="3074" w:type="dxa"/>
          </w:tcPr>
          <w:p w14:paraId="17C2838A" w14:textId="77777777" w:rsidR="00BB0BE3" w:rsidRPr="00BB0BE3" w:rsidRDefault="00BB0BE3" w:rsidP="00E92572">
            <w:pPr>
              <w:pStyle w:val="BodyText"/>
              <w:spacing w:before="185"/>
              <w:jc w:val="right"/>
              <w:rPr>
                <w:spacing w:val="-2"/>
                <w:sz w:val="24"/>
                <w:szCs w:val="24"/>
              </w:rPr>
            </w:pPr>
            <w:r w:rsidRPr="00BB0BE3">
              <w:rPr>
                <w:spacing w:val="-2"/>
                <w:sz w:val="24"/>
                <w:szCs w:val="24"/>
              </w:rPr>
              <w:t>Inputs</w:t>
            </w:r>
          </w:p>
        </w:tc>
        <w:tc>
          <w:tcPr>
            <w:tcW w:w="6418" w:type="dxa"/>
          </w:tcPr>
          <w:p w14:paraId="1C3CF910" w14:textId="40DF8796" w:rsidR="00BB0BE3" w:rsidRPr="00BB0BE3" w:rsidRDefault="001C73BF" w:rsidP="00E92572">
            <w:pPr>
              <w:pStyle w:val="BodyText"/>
              <w:spacing w:before="185"/>
              <w:rPr>
                <w:spacing w:val="-2"/>
                <w:sz w:val="24"/>
                <w:szCs w:val="24"/>
              </w:rPr>
            </w:pPr>
            <w:r w:rsidRPr="001C73BF">
              <w:rPr>
                <w:spacing w:val="-2"/>
                <w:sz w:val="24"/>
                <w:szCs w:val="24"/>
              </w:rPr>
              <w:t>Programmatic materials, training, mentoring, paid staff, volunteers, community partners, non-profits, etc.</w:t>
            </w:r>
          </w:p>
        </w:tc>
      </w:tr>
      <w:tr w:rsidR="00BB0BE3" w:rsidRPr="00BB0BE3" w14:paraId="5F671645" w14:textId="77777777" w:rsidTr="00E92572">
        <w:tc>
          <w:tcPr>
            <w:tcW w:w="3074" w:type="dxa"/>
          </w:tcPr>
          <w:p w14:paraId="234966B4" w14:textId="77777777" w:rsidR="00BB0BE3" w:rsidRPr="00BB0BE3" w:rsidRDefault="00BB0BE3" w:rsidP="00E92572">
            <w:pPr>
              <w:pStyle w:val="BodyText"/>
              <w:spacing w:before="185"/>
              <w:jc w:val="right"/>
              <w:rPr>
                <w:spacing w:val="-2"/>
                <w:sz w:val="24"/>
                <w:szCs w:val="24"/>
              </w:rPr>
            </w:pPr>
            <w:r w:rsidRPr="00BB0BE3">
              <w:rPr>
                <w:spacing w:val="-2"/>
                <w:sz w:val="24"/>
                <w:szCs w:val="24"/>
              </w:rPr>
              <w:t>Date(s)</w:t>
            </w:r>
          </w:p>
        </w:tc>
        <w:tc>
          <w:tcPr>
            <w:tcW w:w="6418" w:type="dxa"/>
          </w:tcPr>
          <w:p w14:paraId="51F5D7DD" w14:textId="7420C0DD" w:rsidR="00BB0BE3" w:rsidRPr="00BB0BE3" w:rsidRDefault="001C73BF" w:rsidP="00E92572">
            <w:pPr>
              <w:pStyle w:val="BodyText"/>
              <w:spacing w:before="185"/>
              <w:rPr>
                <w:spacing w:val="-2"/>
                <w:sz w:val="24"/>
                <w:szCs w:val="24"/>
              </w:rPr>
            </w:pPr>
            <w:r w:rsidRPr="001C73BF">
              <w:rPr>
                <w:spacing w:val="-2"/>
                <w:sz w:val="24"/>
                <w:szCs w:val="24"/>
              </w:rPr>
              <w:t>Ongoing</w:t>
            </w:r>
          </w:p>
        </w:tc>
      </w:tr>
    </w:tbl>
    <w:p w14:paraId="5C2B7290" w14:textId="77777777" w:rsidR="00BB0BE3" w:rsidRPr="00BB0BE3" w:rsidRDefault="00BB0BE3" w:rsidP="00BB0BE3">
      <w:pPr>
        <w:pStyle w:val="NoSpacing"/>
        <w:rPr>
          <w:rFonts w:ascii="Arial" w:hAnsi="Arial" w:cs="Arial"/>
        </w:rPr>
      </w:pPr>
    </w:p>
    <w:tbl>
      <w:tblPr>
        <w:tblStyle w:val="TableGrid"/>
        <w:tblW w:w="0" w:type="auto"/>
        <w:tblInd w:w="184" w:type="dxa"/>
        <w:tblLook w:val="04A0" w:firstRow="1" w:lastRow="0" w:firstColumn="1" w:lastColumn="0" w:noHBand="0" w:noVBand="1"/>
      </w:tblPr>
      <w:tblGrid>
        <w:gridCol w:w="2986"/>
        <w:gridCol w:w="6180"/>
      </w:tblGrid>
      <w:tr w:rsidR="00BB0BE3" w:rsidRPr="00BB0BE3" w14:paraId="357D1810" w14:textId="77777777" w:rsidTr="00E92572">
        <w:tc>
          <w:tcPr>
            <w:tcW w:w="3074" w:type="dxa"/>
          </w:tcPr>
          <w:p w14:paraId="233D3758" w14:textId="77777777" w:rsidR="00BB0BE3" w:rsidRPr="00BB0BE3" w:rsidRDefault="00BB0BE3" w:rsidP="00E92572">
            <w:pPr>
              <w:pStyle w:val="BodyText"/>
              <w:spacing w:before="185"/>
              <w:jc w:val="right"/>
              <w:rPr>
                <w:spacing w:val="-2"/>
                <w:sz w:val="24"/>
                <w:szCs w:val="24"/>
              </w:rPr>
            </w:pPr>
            <w:r w:rsidRPr="00BB0BE3">
              <w:rPr>
                <w:spacing w:val="-2"/>
                <w:sz w:val="24"/>
                <w:szCs w:val="24"/>
              </w:rPr>
              <w:t>Audience</w:t>
            </w:r>
          </w:p>
        </w:tc>
        <w:tc>
          <w:tcPr>
            <w:tcW w:w="6418" w:type="dxa"/>
          </w:tcPr>
          <w:p w14:paraId="7E80FD29" w14:textId="4D6A992D" w:rsidR="00BB0BE3" w:rsidRPr="00BB0BE3" w:rsidRDefault="001C73BF" w:rsidP="00E92572">
            <w:pPr>
              <w:pStyle w:val="BodyText"/>
              <w:spacing w:before="185"/>
              <w:rPr>
                <w:spacing w:val="-2"/>
                <w:sz w:val="24"/>
                <w:szCs w:val="24"/>
              </w:rPr>
            </w:pPr>
            <w:r w:rsidRPr="001C73BF">
              <w:rPr>
                <w:spacing w:val="-2"/>
                <w:sz w:val="24"/>
                <w:szCs w:val="24"/>
              </w:rPr>
              <w:t>Individuals</w:t>
            </w:r>
          </w:p>
        </w:tc>
      </w:tr>
      <w:tr w:rsidR="00BB0BE3" w:rsidRPr="00BB0BE3" w14:paraId="15E2B50F" w14:textId="77777777" w:rsidTr="00E92572">
        <w:tc>
          <w:tcPr>
            <w:tcW w:w="3074" w:type="dxa"/>
          </w:tcPr>
          <w:p w14:paraId="1B10F58E" w14:textId="77777777" w:rsidR="00BB0BE3" w:rsidRPr="00BB0BE3" w:rsidRDefault="00BB0BE3" w:rsidP="00E92572">
            <w:pPr>
              <w:pStyle w:val="BodyText"/>
              <w:spacing w:before="185"/>
              <w:jc w:val="right"/>
              <w:rPr>
                <w:spacing w:val="-2"/>
                <w:sz w:val="24"/>
                <w:szCs w:val="24"/>
              </w:rPr>
            </w:pPr>
            <w:r w:rsidRPr="00BB0BE3">
              <w:rPr>
                <w:spacing w:val="-2"/>
                <w:sz w:val="24"/>
                <w:szCs w:val="24"/>
              </w:rPr>
              <w:t>Project or Activity</w:t>
            </w:r>
          </w:p>
        </w:tc>
        <w:tc>
          <w:tcPr>
            <w:tcW w:w="6418" w:type="dxa"/>
          </w:tcPr>
          <w:p w14:paraId="74A916F5" w14:textId="6570976F" w:rsidR="00BB0BE3" w:rsidRPr="00BB0BE3" w:rsidRDefault="001C73BF" w:rsidP="00E92572">
            <w:pPr>
              <w:pStyle w:val="BodyText"/>
              <w:spacing w:before="185"/>
              <w:rPr>
                <w:spacing w:val="-2"/>
                <w:sz w:val="24"/>
                <w:szCs w:val="24"/>
              </w:rPr>
            </w:pPr>
            <w:r w:rsidRPr="001C73BF">
              <w:rPr>
                <w:spacing w:val="-2"/>
                <w:sz w:val="24"/>
                <w:szCs w:val="24"/>
              </w:rPr>
              <w:t>Emergency Preparedness, Response, and Recovery</w:t>
            </w:r>
          </w:p>
        </w:tc>
      </w:tr>
      <w:tr w:rsidR="00BB0BE3" w:rsidRPr="00BB0BE3" w14:paraId="1F88F71F" w14:textId="77777777" w:rsidTr="00E92572">
        <w:tc>
          <w:tcPr>
            <w:tcW w:w="3074" w:type="dxa"/>
          </w:tcPr>
          <w:p w14:paraId="3548C443" w14:textId="77777777" w:rsidR="00BB0BE3" w:rsidRPr="00BB0BE3" w:rsidRDefault="00BB0BE3" w:rsidP="00E92572">
            <w:pPr>
              <w:pStyle w:val="BodyText"/>
              <w:spacing w:before="185"/>
              <w:jc w:val="right"/>
              <w:rPr>
                <w:spacing w:val="-2"/>
                <w:sz w:val="24"/>
                <w:szCs w:val="24"/>
              </w:rPr>
            </w:pPr>
            <w:r w:rsidRPr="00BB0BE3">
              <w:rPr>
                <w:spacing w:val="-2"/>
                <w:sz w:val="24"/>
                <w:szCs w:val="24"/>
              </w:rPr>
              <w:t>Content or Curriculum</w:t>
            </w:r>
          </w:p>
        </w:tc>
        <w:tc>
          <w:tcPr>
            <w:tcW w:w="6418" w:type="dxa"/>
          </w:tcPr>
          <w:p w14:paraId="439E0094" w14:textId="195FD6C6" w:rsidR="00BB0BE3" w:rsidRPr="00BB0BE3" w:rsidRDefault="001C73BF" w:rsidP="00E92572">
            <w:pPr>
              <w:pStyle w:val="BodyText"/>
              <w:spacing w:before="185"/>
              <w:rPr>
                <w:spacing w:val="-2"/>
                <w:sz w:val="24"/>
                <w:szCs w:val="24"/>
              </w:rPr>
            </w:pPr>
            <w:r w:rsidRPr="001C73BF">
              <w:rPr>
                <w:spacing w:val="-2"/>
                <w:sz w:val="24"/>
                <w:szCs w:val="24"/>
              </w:rPr>
              <w:t>EDEN materials, KHERN publications, trainings, continuing education</w:t>
            </w:r>
          </w:p>
        </w:tc>
      </w:tr>
      <w:tr w:rsidR="00BB0BE3" w:rsidRPr="00BB0BE3" w14:paraId="34F78D05" w14:textId="77777777" w:rsidTr="00E92572">
        <w:tc>
          <w:tcPr>
            <w:tcW w:w="3074" w:type="dxa"/>
          </w:tcPr>
          <w:p w14:paraId="647D336E" w14:textId="77777777" w:rsidR="00BB0BE3" w:rsidRPr="00BB0BE3" w:rsidRDefault="00BB0BE3" w:rsidP="00E92572">
            <w:pPr>
              <w:pStyle w:val="BodyText"/>
              <w:spacing w:before="185"/>
              <w:jc w:val="right"/>
              <w:rPr>
                <w:spacing w:val="-2"/>
                <w:sz w:val="24"/>
                <w:szCs w:val="24"/>
              </w:rPr>
            </w:pPr>
            <w:r w:rsidRPr="00BB0BE3">
              <w:rPr>
                <w:spacing w:val="-2"/>
                <w:sz w:val="24"/>
                <w:szCs w:val="24"/>
              </w:rPr>
              <w:t>Inputs</w:t>
            </w:r>
          </w:p>
        </w:tc>
        <w:tc>
          <w:tcPr>
            <w:tcW w:w="6418" w:type="dxa"/>
          </w:tcPr>
          <w:p w14:paraId="322AF4A1" w14:textId="79B00958" w:rsidR="00BB0BE3" w:rsidRPr="00BB0BE3" w:rsidRDefault="001C73BF" w:rsidP="00E92572">
            <w:pPr>
              <w:pStyle w:val="BodyText"/>
              <w:spacing w:before="185"/>
              <w:rPr>
                <w:spacing w:val="-2"/>
                <w:sz w:val="24"/>
                <w:szCs w:val="24"/>
              </w:rPr>
            </w:pPr>
            <w:r w:rsidRPr="001C73BF">
              <w:rPr>
                <w:spacing w:val="-2"/>
                <w:sz w:val="24"/>
                <w:szCs w:val="24"/>
              </w:rPr>
              <w:t>Programmatic materials, paid staff, volunteers, community partners, etc.</w:t>
            </w:r>
          </w:p>
        </w:tc>
      </w:tr>
      <w:tr w:rsidR="00BB0BE3" w:rsidRPr="00BB0BE3" w14:paraId="48149467" w14:textId="77777777" w:rsidTr="00E92572">
        <w:tc>
          <w:tcPr>
            <w:tcW w:w="3074" w:type="dxa"/>
          </w:tcPr>
          <w:p w14:paraId="17E9CC11" w14:textId="77777777" w:rsidR="00BB0BE3" w:rsidRPr="00BB0BE3" w:rsidRDefault="00BB0BE3" w:rsidP="00E92572">
            <w:pPr>
              <w:pStyle w:val="BodyText"/>
              <w:spacing w:before="185"/>
              <w:jc w:val="right"/>
              <w:rPr>
                <w:spacing w:val="-2"/>
                <w:sz w:val="24"/>
                <w:szCs w:val="24"/>
              </w:rPr>
            </w:pPr>
            <w:r w:rsidRPr="00BB0BE3">
              <w:rPr>
                <w:spacing w:val="-2"/>
                <w:sz w:val="24"/>
                <w:szCs w:val="24"/>
              </w:rPr>
              <w:t>Date(s)</w:t>
            </w:r>
          </w:p>
        </w:tc>
        <w:tc>
          <w:tcPr>
            <w:tcW w:w="6418" w:type="dxa"/>
          </w:tcPr>
          <w:p w14:paraId="7F465415" w14:textId="476BF648" w:rsidR="00BB0BE3" w:rsidRPr="00BB0BE3" w:rsidRDefault="001C73BF" w:rsidP="00E92572">
            <w:pPr>
              <w:pStyle w:val="BodyText"/>
              <w:spacing w:before="185"/>
              <w:rPr>
                <w:spacing w:val="-2"/>
                <w:sz w:val="24"/>
                <w:szCs w:val="24"/>
              </w:rPr>
            </w:pPr>
            <w:r w:rsidRPr="001C73BF">
              <w:rPr>
                <w:spacing w:val="-2"/>
                <w:sz w:val="24"/>
                <w:szCs w:val="24"/>
              </w:rPr>
              <w:t>Ongoing</w:t>
            </w:r>
          </w:p>
        </w:tc>
      </w:tr>
    </w:tbl>
    <w:p w14:paraId="6B5E7F0E" w14:textId="77777777" w:rsidR="00BB0BE3" w:rsidRPr="00BB0BE3" w:rsidRDefault="00BB0BE3" w:rsidP="00BB0BE3">
      <w:pPr>
        <w:pStyle w:val="NoSpacing"/>
        <w:rPr>
          <w:rFonts w:ascii="Arial" w:hAnsi="Arial" w:cs="Arial"/>
        </w:rPr>
      </w:pPr>
    </w:p>
    <w:tbl>
      <w:tblPr>
        <w:tblStyle w:val="TableGrid"/>
        <w:tblW w:w="0" w:type="auto"/>
        <w:tblInd w:w="184" w:type="dxa"/>
        <w:tblLook w:val="04A0" w:firstRow="1" w:lastRow="0" w:firstColumn="1" w:lastColumn="0" w:noHBand="0" w:noVBand="1"/>
      </w:tblPr>
      <w:tblGrid>
        <w:gridCol w:w="2987"/>
        <w:gridCol w:w="6179"/>
      </w:tblGrid>
      <w:tr w:rsidR="00BB0BE3" w:rsidRPr="00BB0BE3" w14:paraId="7DBCFC0D" w14:textId="77777777" w:rsidTr="00E92572">
        <w:tc>
          <w:tcPr>
            <w:tcW w:w="3074" w:type="dxa"/>
          </w:tcPr>
          <w:p w14:paraId="737895D5" w14:textId="77777777" w:rsidR="00BB0BE3" w:rsidRPr="00BB0BE3" w:rsidRDefault="00BB0BE3" w:rsidP="00E92572">
            <w:pPr>
              <w:pStyle w:val="BodyText"/>
              <w:spacing w:before="185"/>
              <w:jc w:val="right"/>
              <w:rPr>
                <w:spacing w:val="-2"/>
                <w:sz w:val="24"/>
                <w:szCs w:val="24"/>
              </w:rPr>
            </w:pPr>
            <w:r w:rsidRPr="00BB0BE3">
              <w:rPr>
                <w:spacing w:val="-2"/>
                <w:sz w:val="24"/>
                <w:szCs w:val="24"/>
              </w:rPr>
              <w:t>Audience</w:t>
            </w:r>
          </w:p>
        </w:tc>
        <w:tc>
          <w:tcPr>
            <w:tcW w:w="6418" w:type="dxa"/>
          </w:tcPr>
          <w:p w14:paraId="7418FD5E" w14:textId="6F741D37" w:rsidR="00BB0BE3" w:rsidRPr="00BB0BE3" w:rsidRDefault="001C73BF" w:rsidP="00E92572">
            <w:pPr>
              <w:pStyle w:val="BodyText"/>
              <w:spacing w:before="185"/>
              <w:rPr>
                <w:spacing w:val="-2"/>
                <w:sz w:val="24"/>
                <w:szCs w:val="24"/>
              </w:rPr>
            </w:pPr>
            <w:r w:rsidRPr="001C73BF">
              <w:rPr>
                <w:spacing w:val="-2"/>
                <w:sz w:val="24"/>
                <w:szCs w:val="24"/>
              </w:rPr>
              <w:t>Communities</w:t>
            </w:r>
          </w:p>
        </w:tc>
      </w:tr>
      <w:tr w:rsidR="00BB0BE3" w:rsidRPr="00BB0BE3" w14:paraId="7EB60932" w14:textId="77777777" w:rsidTr="00E92572">
        <w:tc>
          <w:tcPr>
            <w:tcW w:w="3074" w:type="dxa"/>
          </w:tcPr>
          <w:p w14:paraId="561E7722" w14:textId="77777777" w:rsidR="00BB0BE3" w:rsidRPr="00BB0BE3" w:rsidRDefault="00BB0BE3" w:rsidP="00E92572">
            <w:pPr>
              <w:pStyle w:val="BodyText"/>
              <w:spacing w:before="185"/>
              <w:jc w:val="right"/>
              <w:rPr>
                <w:spacing w:val="-2"/>
                <w:sz w:val="24"/>
                <w:szCs w:val="24"/>
              </w:rPr>
            </w:pPr>
            <w:r w:rsidRPr="00BB0BE3">
              <w:rPr>
                <w:spacing w:val="-2"/>
                <w:sz w:val="24"/>
                <w:szCs w:val="24"/>
              </w:rPr>
              <w:t>Project or Activity</w:t>
            </w:r>
          </w:p>
        </w:tc>
        <w:tc>
          <w:tcPr>
            <w:tcW w:w="6418" w:type="dxa"/>
          </w:tcPr>
          <w:p w14:paraId="69CD294B" w14:textId="2C7A6828" w:rsidR="00BB0BE3" w:rsidRPr="00BB0BE3" w:rsidRDefault="001C73BF" w:rsidP="00E92572">
            <w:pPr>
              <w:pStyle w:val="BodyText"/>
              <w:spacing w:before="185"/>
              <w:rPr>
                <w:spacing w:val="-2"/>
                <w:sz w:val="24"/>
                <w:szCs w:val="24"/>
              </w:rPr>
            </w:pPr>
            <w:r w:rsidRPr="001C73BF">
              <w:rPr>
                <w:spacing w:val="-2"/>
                <w:sz w:val="24"/>
                <w:szCs w:val="24"/>
              </w:rPr>
              <w:t>Building Connection in Communities</w:t>
            </w:r>
          </w:p>
        </w:tc>
      </w:tr>
      <w:tr w:rsidR="00BB0BE3" w:rsidRPr="00BB0BE3" w14:paraId="0BFC0B63" w14:textId="77777777" w:rsidTr="00E92572">
        <w:tc>
          <w:tcPr>
            <w:tcW w:w="3074" w:type="dxa"/>
          </w:tcPr>
          <w:p w14:paraId="288BB309" w14:textId="77777777" w:rsidR="00BB0BE3" w:rsidRPr="00BB0BE3" w:rsidRDefault="00BB0BE3" w:rsidP="00E92572">
            <w:pPr>
              <w:pStyle w:val="BodyText"/>
              <w:spacing w:before="185"/>
              <w:jc w:val="right"/>
              <w:rPr>
                <w:spacing w:val="-2"/>
                <w:sz w:val="24"/>
                <w:szCs w:val="24"/>
              </w:rPr>
            </w:pPr>
            <w:r w:rsidRPr="00BB0BE3">
              <w:rPr>
                <w:spacing w:val="-2"/>
                <w:sz w:val="24"/>
                <w:szCs w:val="24"/>
              </w:rPr>
              <w:lastRenderedPageBreak/>
              <w:t>Content or Curriculum</w:t>
            </w:r>
          </w:p>
        </w:tc>
        <w:tc>
          <w:tcPr>
            <w:tcW w:w="6418" w:type="dxa"/>
          </w:tcPr>
          <w:p w14:paraId="12601B17" w14:textId="3D25B7B7" w:rsidR="00BB0BE3" w:rsidRPr="00BB0BE3" w:rsidRDefault="001C73BF" w:rsidP="00E92572">
            <w:pPr>
              <w:pStyle w:val="BodyText"/>
              <w:spacing w:before="185"/>
              <w:rPr>
                <w:spacing w:val="-2"/>
                <w:sz w:val="24"/>
                <w:szCs w:val="24"/>
              </w:rPr>
            </w:pPr>
            <w:r w:rsidRPr="001C73BF">
              <w:rPr>
                <w:spacing w:val="-2"/>
                <w:sz w:val="24"/>
                <w:szCs w:val="24"/>
              </w:rPr>
              <w:t>SPARK! toolkit, Placemaking Toolkit, Community Design publications, Community Arts publications, CLD publications, Building Community Pop-Up Toolkit, Creative Community Projects toolkit, Community Mural toolkit, Story Circles, curriculum, trainings, continuing education, Civic Engagement publications, Coalition and Network building publications</w:t>
            </w:r>
          </w:p>
        </w:tc>
      </w:tr>
      <w:tr w:rsidR="00BB0BE3" w:rsidRPr="00BB0BE3" w14:paraId="11A8B8CC" w14:textId="77777777" w:rsidTr="00E92572">
        <w:tc>
          <w:tcPr>
            <w:tcW w:w="3074" w:type="dxa"/>
          </w:tcPr>
          <w:p w14:paraId="5F4D9A1F" w14:textId="77777777" w:rsidR="00BB0BE3" w:rsidRPr="00BB0BE3" w:rsidRDefault="00BB0BE3" w:rsidP="00E92572">
            <w:pPr>
              <w:pStyle w:val="BodyText"/>
              <w:spacing w:before="185"/>
              <w:jc w:val="right"/>
              <w:rPr>
                <w:spacing w:val="-2"/>
                <w:sz w:val="24"/>
                <w:szCs w:val="24"/>
              </w:rPr>
            </w:pPr>
            <w:r w:rsidRPr="00BB0BE3">
              <w:rPr>
                <w:spacing w:val="-2"/>
                <w:sz w:val="24"/>
                <w:szCs w:val="24"/>
              </w:rPr>
              <w:t>Inputs</w:t>
            </w:r>
          </w:p>
        </w:tc>
        <w:tc>
          <w:tcPr>
            <w:tcW w:w="6418" w:type="dxa"/>
          </w:tcPr>
          <w:p w14:paraId="3F1E8A34" w14:textId="575CC427" w:rsidR="00BB0BE3" w:rsidRPr="00BB0BE3" w:rsidRDefault="001C73BF" w:rsidP="00E92572">
            <w:pPr>
              <w:pStyle w:val="BodyText"/>
              <w:spacing w:before="185"/>
              <w:rPr>
                <w:spacing w:val="-2"/>
                <w:sz w:val="24"/>
                <w:szCs w:val="24"/>
              </w:rPr>
            </w:pPr>
            <w:r w:rsidRPr="001C73BF">
              <w:rPr>
                <w:spacing w:val="-2"/>
                <w:sz w:val="24"/>
                <w:szCs w:val="24"/>
              </w:rPr>
              <w:t>Programmatic materials, paid staff, community partners, volunteers, etc.</w:t>
            </w:r>
          </w:p>
        </w:tc>
      </w:tr>
      <w:tr w:rsidR="00BB0BE3" w:rsidRPr="00BB0BE3" w14:paraId="3469EF8A" w14:textId="77777777" w:rsidTr="00E92572">
        <w:tc>
          <w:tcPr>
            <w:tcW w:w="3074" w:type="dxa"/>
          </w:tcPr>
          <w:p w14:paraId="10C61DAA" w14:textId="77777777" w:rsidR="00BB0BE3" w:rsidRPr="00BB0BE3" w:rsidRDefault="00BB0BE3" w:rsidP="00E92572">
            <w:pPr>
              <w:pStyle w:val="BodyText"/>
              <w:spacing w:before="185"/>
              <w:jc w:val="right"/>
              <w:rPr>
                <w:spacing w:val="-2"/>
                <w:sz w:val="24"/>
                <w:szCs w:val="24"/>
              </w:rPr>
            </w:pPr>
            <w:r w:rsidRPr="00BB0BE3">
              <w:rPr>
                <w:spacing w:val="-2"/>
                <w:sz w:val="24"/>
                <w:szCs w:val="24"/>
              </w:rPr>
              <w:t>Date(s)</w:t>
            </w:r>
          </w:p>
        </w:tc>
        <w:tc>
          <w:tcPr>
            <w:tcW w:w="6418" w:type="dxa"/>
          </w:tcPr>
          <w:p w14:paraId="1B6CB50A" w14:textId="2EE7454A" w:rsidR="00BB0BE3" w:rsidRPr="00BB0BE3" w:rsidRDefault="001C73BF" w:rsidP="00E92572">
            <w:pPr>
              <w:pStyle w:val="BodyText"/>
              <w:spacing w:before="185"/>
              <w:rPr>
                <w:spacing w:val="-2"/>
                <w:sz w:val="24"/>
                <w:szCs w:val="24"/>
              </w:rPr>
            </w:pPr>
            <w:r w:rsidRPr="001C73BF">
              <w:rPr>
                <w:spacing w:val="-2"/>
                <w:sz w:val="24"/>
                <w:szCs w:val="24"/>
              </w:rPr>
              <w:t>Ongoing</w:t>
            </w:r>
          </w:p>
        </w:tc>
      </w:tr>
    </w:tbl>
    <w:p w14:paraId="1F1E964C" w14:textId="77777777" w:rsidR="00BB0BE3" w:rsidRPr="00BB0BE3" w:rsidRDefault="00BB0BE3" w:rsidP="00BB0BE3">
      <w:pPr>
        <w:pStyle w:val="NoSpacing"/>
        <w:rPr>
          <w:rFonts w:ascii="Arial" w:hAnsi="Arial" w:cs="Arial"/>
        </w:rPr>
      </w:pPr>
    </w:p>
    <w:p w14:paraId="6E69BB60" w14:textId="77777777" w:rsidR="004820C7" w:rsidRDefault="004820C7" w:rsidP="00BB0BE3">
      <w:pPr>
        <w:pStyle w:val="NoSpacing"/>
        <w:rPr>
          <w:rFonts w:ascii="Arial" w:hAnsi="Arial" w:cs="Arial"/>
        </w:rPr>
      </w:pPr>
    </w:p>
    <w:p w14:paraId="2986BFBD" w14:textId="14AC8C01" w:rsidR="00BB0BE3" w:rsidRPr="00BB0BE3" w:rsidRDefault="00BB0BE3" w:rsidP="00BB0BE3">
      <w:pPr>
        <w:pStyle w:val="NoSpacing"/>
        <w:rPr>
          <w:rFonts w:ascii="Arial" w:hAnsi="Arial" w:cs="Arial"/>
          <w:u w:val="single"/>
        </w:rPr>
      </w:pPr>
      <w:r w:rsidRPr="00BB0BE3">
        <w:rPr>
          <w:rFonts w:ascii="Arial" w:hAnsi="Arial" w:cs="Arial"/>
          <w:u w:val="single"/>
        </w:rPr>
        <w:t>Evaluation</w:t>
      </w:r>
    </w:p>
    <w:p w14:paraId="386FD046"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533773DA" w14:textId="77777777" w:rsidTr="00E92572">
        <w:tc>
          <w:tcPr>
            <w:tcW w:w="1548" w:type="dxa"/>
          </w:tcPr>
          <w:p w14:paraId="3EE5EA0C"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1550AE32" w14:textId="00233774" w:rsidR="00BB0BE3" w:rsidRPr="00BB0BE3" w:rsidRDefault="001C73BF" w:rsidP="00E92572">
            <w:pPr>
              <w:pStyle w:val="BodyText"/>
              <w:spacing w:before="32"/>
              <w:rPr>
                <w:sz w:val="24"/>
                <w:szCs w:val="24"/>
              </w:rPr>
            </w:pPr>
            <w:r w:rsidRPr="001C73BF">
              <w:rPr>
                <w:sz w:val="24"/>
                <w:szCs w:val="24"/>
              </w:rPr>
              <w:t>Increased knowledge of digital tools and online resources (short term)</w:t>
            </w:r>
          </w:p>
        </w:tc>
      </w:tr>
      <w:tr w:rsidR="00BB0BE3" w:rsidRPr="00BB0BE3" w14:paraId="74FD72DA" w14:textId="77777777" w:rsidTr="00E92572">
        <w:tc>
          <w:tcPr>
            <w:tcW w:w="1548" w:type="dxa"/>
          </w:tcPr>
          <w:p w14:paraId="11645B2C"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520A6CD1" w14:textId="7EB028CD" w:rsidR="00BB0BE3" w:rsidRPr="00BB0BE3" w:rsidRDefault="001C73BF" w:rsidP="001C73BF">
            <w:pPr>
              <w:pStyle w:val="BodyText"/>
              <w:spacing w:before="32"/>
              <w:rPr>
                <w:sz w:val="24"/>
                <w:szCs w:val="24"/>
              </w:rPr>
            </w:pPr>
            <w:r w:rsidRPr="001C73BF">
              <w:rPr>
                <w:sz w:val="24"/>
                <w:szCs w:val="24"/>
              </w:rPr>
              <w:t>Number of participants demonstrating increased confidence or skills in using digital tools (e.g., online banking, telehealth, online applications, or virtual platforms) after completing Extension training programs</w:t>
            </w:r>
          </w:p>
        </w:tc>
      </w:tr>
      <w:tr w:rsidR="00BB0BE3" w:rsidRPr="00BB0BE3" w14:paraId="36E1802E" w14:textId="77777777" w:rsidTr="00E92572">
        <w:tc>
          <w:tcPr>
            <w:tcW w:w="1548" w:type="dxa"/>
          </w:tcPr>
          <w:p w14:paraId="3A2C08BC"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4657F1BB" w14:textId="23D4CFA5" w:rsidR="00BB0BE3" w:rsidRPr="00BB0BE3" w:rsidRDefault="001C73BF" w:rsidP="00E92572">
            <w:pPr>
              <w:pStyle w:val="BodyText"/>
              <w:spacing w:before="32"/>
              <w:rPr>
                <w:sz w:val="24"/>
                <w:szCs w:val="24"/>
              </w:rPr>
            </w:pPr>
            <w:r w:rsidRPr="001C73BF">
              <w:rPr>
                <w:sz w:val="24"/>
                <w:szCs w:val="24"/>
              </w:rPr>
              <w:t>Post-participation survey (self-assessment of learning gains).</w:t>
            </w:r>
          </w:p>
        </w:tc>
      </w:tr>
      <w:tr w:rsidR="00BB0BE3" w:rsidRPr="00BB0BE3" w14:paraId="4AF62FFC" w14:textId="77777777" w:rsidTr="00E92572">
        <w:tc>
          <w:tcPr>
            <w:tcW w:w="1548" w:type="dxa"/>
          </w:tcPr>
          <w:p w14:paraId="03FF381C"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71184404" w14:textId="4FAB1F46" w:rsidR="00BB0BE3" w:rsidRPr="00BB0BE3" w:rsidRDefault="001C73BF" w:rsidP="00E92572">
            <w:pPr>
              <w:pStyle w:val="BodyText"/>
              <w:spacing w:before="32"/>
              <w:rPr>
                <w:sz w:val="24"/>
                <w:szCs w:val="24"/>
              </w:rPr>
            </w:pPr>
            <w:r w:rsidRPr="001C73BF">
              <w:rPr>
                <w:sz w:val="24"/>
                <w:szCs w:val="24"/>
              </w:rPr>
              <w:t>Collected immediately after program participation.</w:t>
            </w:r>
          </w:p>
        </w:tc>
      </w:tr>
    </w:tbl>
    <w:p w14:paraId="74BC6069"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7FA009B0" w14:textId="77777777" w:rsidTr="00E92572">
        <w:tc>
          <w:tcPr>
            <w:tcW w:w="1548" w:type="dxa"/>
          </w:tcPr>
          <w:p w14:paraId="46232344"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4D0CD04D" w14:textId="62E38916" w:rsidR="00BB0BE3" w:rsidRPr="00BB0BE3" w:rsidRDefault="001C73BF" w:rsidP="00E92572">
            <w:pPr>
              <w:pStyle w:val="BodyText"/>
              <w:spacing w:before="32"/>
              <w:rPr>
                <w:sz w:val="24"/>
                <w:szCs w:val="24"/>
              </w:rPr>
            </w:pPr>
            <w:r>
              <w:rPr>
                <w:sz w:val="24"/>
                <w:szCs w:val="24"/>
              </w:rPr>
              <w:t>I</w:t>
            </w:r>
            <w:r w:rsidRPr="001C73BF">
              <w:rPr>
                <w:sz w:val="24"/>
                <w:szCs w:val="24"/>
              </w:rPr>
              <w:t>mproved understanding of disaster preparedness and recovery strategies (short term)</w:t>
            </w:r>
          </w:p>
        </w:tc>
      </w:tr>
      <w:tr w:rsidR="00BB0BE3" w:rsidRPr="00BB0BE3" w14:paraId="4248B99D" w14:textId="77777777" w:rsidTr="00E92572">
        <w:tc>
          <w:tcPr>
            <w:tcW w:w="1548" w:type="dxa"/>
          </w:tcPr>
          <w:p w14:paraId="39A09E79"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61EC5368" w14:textId="084E9786" w:rsidR="00BB0BE3" w:rsidRPr="00BB0BE3" w:rsidRDefault="001C73BF" w:rsidP="00E92572">
            <w:pPr>
              <w:pStyle w:val="BodyText"/>
              <w:spacing w:before="32"/>
              <w:rPr>
                <w:sz w:val="24"/>
                <w:szCs w:val="24"/>
              </w:rPr>
            </w:pPr>
            <w:r w:rsidRPr="001C73BF">
              <w:rPr>
                <w:sz w:val="24"/>
                <w:szCs w:val="24"/>
              </w:rPr>
              <w:t>Number of participants who reported that they intend to develop an emergency plan or preparedness kit after completing an Extension disaster training.</w:t>
            </w:r>
          </w:p>
        </w:tc>
      </w:tr>
      <w:tr w:rsidR="00BB0BE3" w:rsidRPr="00BB0BE3" w14:paraId="7487B365" w14:textId="77777777" w:rsidTr="00E92572">
        <w:tc>
          <w:tcPr>
            <w:tcW w:w="1548" w:type="dxa"/>
          </w:tcPr>
          <w:p w14:paraId="7B058709"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1E1A5DA8" w14:textId="68C48E71" w:rsidR="00BB0BE3" w:rsidRPr="00BB0BE3" w:rsidRDefault="001C73BF" w:rsidP="00E92572">
            <w:pPr>
              <w:pStyle w:val="BodyText"/>
              <w:spacing w:before="32"/>
              <w:rPr>
                <w:sz w:val="24"/>
                <w:szCs w:val="24"/>
              </w:rPr>
            </w:pPr>
            <w:r w:rsidRPr="001C73BF">
              <w:rPr>
                <w:sz w:val="24"/>
                <w:szCs w:val="24"/>
              </w:rPr>
              <w:t>Pre- and post-training survey.</w:t>
            </w:r>
          </w:p>
        </w:tc>
      </w:tr>
      <w:tr w:rsidR="00BB0BE3" w:rsidRPr="00BB0BE3" w14:paraId="1AC635A6" w14:textId="77777777" w:rsidTr="00E92572">
        <w:tc>
          <w:tcPr>
            <w:tcW w:w="1548" w:type="dxa"/>
          </w:tcPr>
          <w:p w14:paraId="14FA20D5"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5ACA37A9" w14:textId="64789EE4" w:rsidR="00BB0BE3" w:rsidRPr="00BB0BE3" w:rsidRDefault="001C73BF" w:rsidP="00E92572">
            <w:pPr>
              <w:pStyle w:val="BodyText"/>
              <w:spacing w:before="32"/>
              <w:rPr>
                <w:sz w:val="24"/>
                <w:szCs w:val="24"/>
              </w:rPr>
            </w:pPr>
            <w:r w:rsidRPr="001C73BF">
              <w:rPr>
                <w:sz w:val="24"/>
                <w:szCs w:val="24"/>
              </w:rPr>
              <w:t>Collected before and after each session.</w:t>
            </w:r>
          </w:p>
        </w:tc>
      </w:tr>
    </w:tbl>
    <w:p w14:paraId="61A65BF8"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4AACB118" w14:textId="77777777" w:rsidTr="00E92572">
        <w:tc>
          <w:tcPr>
            <w:tcW w:w="1548" w:type="dxa"/>
          </w:tcPr>
          <w:p w14:paraId="0E118D38"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5263687F" w14:textId="0912CB37" w:rsidR="00BB0BE3" w:rsidRPr="00BB0BE3" w:rsidRDefault="001C73BF" w:rsidP="00E92572">
            <w:pPr>
              <w:pStyle w:val="BodyText"/>
              <w:spacing w:before="32"/>
              <w:rPr>
                <w:sz w:val="24"/>
                <w:szCs w:val="24"/>
              </w:rPr>
            </w:pPr>
            <w:r w:rsidRPr="001C73BF">
              <w:rPr>
                <w:sz w:val="24"/>
                <w:szCs w:val="24"/>
              </w:rPr>
              <w:t>Increased understanding of cultural development and community identity (short term)</w:t>
            </w:r>
          </w:p>
        </w:tc>
      </w:tr>
      <w:tr w:rsidR="00BB0BE3" w:rsidRPr="00BB0BE3" w14:paraId="3AB7A0BF" w14:textId="77777777" w:rsidTr="00E92572">
        <w:tc>
          <w:tcPr>
            <w:tcW w:w="1548" w:type="dxa"/>
          </w:tcPr>
          <w:p w14:paraId="5E12C134"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108ADFC7" w14:textId="6B3F07B0" w:rsidR="00BB0BE3" w:rsidRPr="00BB0BE3" w:rsidRDefault="001C73BF" w:rsidP="001C73BF">
            <w:pPr>
              <w:pStyle w:val="BodyText"/>
              <w:spacing w:before="32"/>
              <w:rPr>
                <w:sz w:val="24"/>
                <w:szCs w:val="24"/>
              </w:rPr>
            </w:pPr>
            <w:r w:rsidRPr="001C73BF">
              <w:rPr>
                <w:sz w:val="24"/>
                <w:szCs w:val="24"/>
              </w:rPr>
              <w:t>Number of participants who reported increased understanding of the value of building local cultural assets such as foodways, arts, and heritage traditions.</w:t>
            </w:r>
          </w:p>
        </w:tc>
      </w:tr>
      <w:tr w:rsidR="00BB0BE3" w:rsidRPr="00BB0BE3" w14:paraId="74601055" w14:textId="77777777" w:rsidTr="00E92572">
        <w:tc>
          <w:tcPr>
            <w:tcW w:w="1548" w:type="dxa"/>
          </w:tcPr>
          <w:p w14:paraId="319E95DB"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2BE7BD90" w14:textId="3A946DA4" w:rsidR="00BB0BE3" w:rsidRPr="00BB0BE3" w:rsidRDefault="001C73BF" w:rsidP="00E92572">
            <w:pPr>
              <w:pStyle w:val="BodyText"/>
              <w:spacing w:before="32"/>
              <w:rPr>
                <w:sz w:val="24"/>
                <w:szCs w:val="24"/>
              </w:rPr>
            </w:pPr>
            <w:r w:rsidRPr="001C73BF">
              <w:rPr>
                <w:sz w:val="24"/>
                <w:szCs w:val="24"/>
              </w:rPr>
              <w:t>Reflection surveys and community feedback.</w:t>
            </w:r>
          </w:p>
        </w:tc>
      </w:tr>
      <w:tr w:rsidR="00BB0BE3" w:rsidRPr="00BB0BE3" w14:paraId="6B2B84C7" w14:textId="77777777" w:rsidTr="00E92572">
        <w:tc>
          <w:tcPr>
            <w:tcW w:w="1548" w:type="dxa"/>
          </w:tcPr>
          <w:p w14:paraId="245F709C"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7C6FE184" w14:textId="1C1CD0F4" w:rsidR="00BB0BE3" w:rsidRPr="00BB0BE3" w:rsidRDefault="001C73BF" w:rsidP="00E92572">
            <w:pPr>
              <w:pStyle w:val="BodyText"/>
              <w:spacing w:before="32"/>
              <w:rPr>
                <w:sz w:val="24"/>
                <w:szCs w:val="24"/>
              </w:rPr>
            </w:pPr>
            <w:r w:rsidRPr="001C73BF">
              <w:rPr>
                <w:sz w:val="24"/>
                <w:szCs w:val="24"/>
              </w:rPr>
              <w:t>Collected within 30 days of participation.</w:t>
            </w:r>
          </w:p>
        </w:tc>
      </w:tr>
    </w:tbl>
    <w:p w14:paraId="4A5A879E"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07DC1A7C" w14:textId="77777777" w:rsidTr="00E92572">
        <w:tc>
          <w:tcPr>
            <w:tcW w:w="1548" w:type="dxa"/>
          </w:tcPr>
          <w:p w14:paraId="1F05A3B5"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36662667" w14:textId="0C96126C" w:rsidR="00BB0BE3" w:rsidRPr="00BB0BE3" w:rsidRDefault="001C73BF" w:rsidP="00E92572">
            <w:pPr>
              <w:pStyle w:val="BodyText"/>
              <w:spacing w:before="32"/>
              <w:rPr>
                <w:sz w:val="24"/>
                <w:szCs w:val="24"/>
              </w:rPr>
            </w:pPr>
            <w:r w:rsidRPr="001C73BF">
              <w:rPr>
                <w:sz w:val="24"/>
                <w:szCs w:val="24"/>
              </w:rPr>
              <w:t>More individuals adopt digital tools for work and daily life (intermediate)</w:t>
            </w:r>
          </w:p>
        </w:tc>
      </w:tr>
      <w:tr w:rsidR="00BB0BE3" w:rsidRPr="00BB0BE3" w14:paraId="40DCB89C" w14:textId="77777777" w:rsidTr="00E92572">
        <w:tc>
          <w:tcPr>
            <w:tcW w:w="1548" w:type="dxa"/>
          </w:tcPr>
          <w:p w14:paraId="21F0AB17"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28E052FF" w14:textId="482FCFB4" w:rsidR="00BB0BE3" w:rsidRPr="00BB0BE3" w:rsidRDefault="001C73BF" w:rsidP="00E92572">
            <w:pPr>
              <w:pStyle w:val="BodyText"/>
              <w:spacing w:before="32"/>
              <w:rPr>
                <w:sz w:val="24"/>
                <w:szCs w:val="24"/>
              </w:rPr>
            </w:pPr>
            <w:r w:rsidRPr="001C73BF">
              <w:rPr>
                <w:sz w:val="24"/>
                <w:szCs w:val="24"/>
              </w:rPr>
              <w:t xml:space="preserve">Number of communities that reported implementing at least one new strategy to strengthen digital inclusion (e.g., improved public Wi-Fi, device access programs, digital literacy workshops) </w:t>
            </w:r>
            <w:proofErr w:type="gramStart"/>
            <w:r w:rsidRPr="001C73BF">
              <w:rPr>
                <w:sz w:val="24"/>
                <w:szCs w:val="24"/>
              </w:rPr>
              <w:t>as a result of</w:t>
            </w:r>
            <w:proofErr w:type="gramEnd"/>
            <w:r w:rsidRPr="001C73BF">
              <w:rPr>
                <w:sz w:val="24"/>
                <w:szCs w:val="24"/>
              </w:rPr>
              <w:t xml:space="preserve"> Extension-supported initiatives.</w:t>
            </w:r>
          </w:p>
        </w:tc>
      </w:tr>
      <w:tr w:rsidR="00BB0BE3" w:rsidRPr="00BB0BE3" w14:paraId="1CFD3469" w14:textId="77777777" w:rsidTr="00E92572">
        <w:tc>
          <w:tcPr>
            <w:tcW w:w="1548" w:type="dxa"/>
          </w:tcPr>
          <w:p w14:paraId="6EA30672" w14:textId="77777777" w:rsidR="00BB0BE3" w:rsidRPr="00BB0BE3" w:rsidRDefault="00BB0BE3" w:rsidP="00E92572">
            <w:pPr>
              <w:pStyle w:val="BodyText"/>
              <w:spacing w:before="32"/>
              <w:jc w:val="right"/>
              <w:rPr>
                <w:sz w:val="24"/>
                <w:szCs w:val="24"/>
              </w:rPr>
            </w:pPr>
            <w:r w:rsidRPr="00BB0BE3">
              <w:rPr>
                <w:sz w:val="24"/>
                <w:szCs w:val="24"/>
              </w:rPr>
              <w:lastRenderedPageBreak/>
              <w:t>Method</w:t>
            </w:r>
          </w:p>
        </w:tc>
        <w:tc>
          <w:tcPr>
            <w:tcW w:w="8128" w:type="dxa"/>
          </w:tcPr>
          <w:p w14:paraId="7F3B3214" w14:textId="47FE5727" w:rsidR="00BB0BE3" w:rsidRPr="00BB0BE3" w:rsidRDefault="001C73BF" w:rsidP="00E92572">
            <w:pPr>
              <w:pStyle w:val="BodyText"/>
              <w:spacing w:before="32"/>
              <w:rPr>
                <w:sz w:val="24"/>
                <w:szCs w:val="24"/>
              </w:rPr>
            </w:pPr>
            <w:r w:rsidRPr="001C73BF">
              <w:rPr>
                <w:sz w:val="24"/>
                <w:szCs w:val="24"/>
              </w:rPr>
              <w:t>Follow-up survey at 3 and 6 months.</w:t>
            </w:r>
          </w:p>
        </w:tc>
      </w:tr>
      <w:tr w:rsidR="00BB0BE3" w:rsidRPr="00BB0BE3" w14:paraId="4D38F270" w14:textId="77777777" w:rsidTr="00E92572">
        <w:tc>
          <w:tcPr>
            <w:tcW w:w="1548" w:type="dxa"/>
          </w:tcPr>
          <w:p w14:paraId="38D05F76"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2CEAF800" w14:textId="0E250369" w:rsidR="00BB0BE3" w:rsidRPr="00BB0BE3" w:rsidRDefault="001C73BF" w:rsidP="00E92572">
            <w:pPr>
              <w:pStyle w:val="BodyText"/>
              <w:spacing w:before="32"/>
              <w:rPr>
                <w:sz w:val="24"/>
                <w:szCs w:val="24"/>
              </w:rPr>
            </w:pPr>
            <w:r w:rsidRPr="001C73BF">
              <w:rPr>
                <w:sz w:val="24"/>
                <w:szCs w:val="24"/>
              </w:rPr>
              <w:t>Collected at program completion and 6 months post-program.</w:t>
            </w:r>
          </w:p>
        </w:tc>
      </w:tr>
    </w:tbl>
    <w:p w14:paraId="7DBB8C63"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7A3C4100" w14:textId="77777777" w:rsidTr="00E92572">
        <w:tc>
          <w:tcPr>
            <w:tcW w:w="1548" w:type="dxa"/>
          </w:tcPr>
          <w:p w14:paraId="75DF7688"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18D338F1" w14:textId="1A658BF2" w:rsidR="00BB0BE3" w:rsidRPr="00BB0BE3" w:rsidRDefault="001C73BF" w:rsidP="00E92572">
            <w:pPr>
              <w:pStyle w:val="BodyText"/>
              <w:spacing w:before="32"/>
              <w:rPr>
                <w:sz w:val="24"/>
                <w:szCs w:val="24"/>
              </w:rPr>
            </w:pPr>
            <w:r w:rsidRPr="001C73BF">
              <w:rPr>
                <w:sz w:val="24"/>
                <w:szCs w:val="24"/>
              </w:rPr>
              <w:t>Collected at program completion and 6 months post-program.</w:t>
            </w:r>
          </w:p>
        </w:tc>
      </w:tr>
      <w:tr w:rsidR="00BB0BE3" w:rsidRPr="00BB0BE3" w14:paraId="7D96816F" w14:textId="77777777" w:rsidTr="00E92572">
        <w:tc>
          <w:tcPr>
            <w:tcW w:w="1548" w:type="dxa"/>
          </w:tcPr>
          <w:p w14:paraId="749699D4"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50984B88" w14:textId="45F01B2C" w:rsidR="00BB0BE3" w:rsidRPr="00BB0BE3" w:rsidRDefault="001C73BF" w:rsidP="00E92572">
            <w:pPr>
              <w:pStyle w:val="BodyText"/>
              <w:spacing w:before="32"/>
              <w:rPr>
                <w:sz w:val="24"/>
                <w:szCs w:val="24"/>
              </w:rPr>
            </w:pPr>
            <w:r w:rsidRPr="001C73BF">
              <w:rPr>
                <w:sz w:val="24"/>
                <w:szCs w:val="24"/>
              </w:rPr>
              <w:t>Number of businesses, farms, or households reporting faster post-disaster recovery due to preparedness actions learned through Extension.</w:t>
            </w:r>
          </w:p>
        </w:tc>
      </w:tr>
      <w:tr w:rsidR="00BB0BE3" w:rsidRPr="00BB0BE3" w14:paraId="4C2FAA0A" w14:textId="77777777" w:rsidTr="00E92572">
        <w:tc>
          <w:tcPr>
            <w:tcW w:w="1548" w:type="dxa"/>
          </w:tcPr>
          <w:p w14:paraId="11F08825"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53A3C0FE" w14:textId="4B9D9C06" w:rsidR="00BB0BE3" w:rsidRPr="00BB0BE3" w:rsidRDefault="001C73BF" w:rsidP="00E92572">
            <w:pPr>
              <w:pStyle w:val="BodyText"/>
              <w:spacing w:before="32"/>
              <w:rPr>
                <w:sz w:val="24"/>
                <w:szCs w:val="24"/>
              </w:rPr>
            </w:pPr>
            <w:r w:rsidRPr="001C73BF">
              <w:rPr>
                <w:sz w:val="24"/>
                <w:szCs w:val="24"/>
              </w:rPr>
              <w:t>Number of businesses, farms, or households reporting faster post-disaster recovery due to preparedness actions learned through Extension.</w:t>
            </w:r>
          </w:p>
        </w:tc>
      </w:tr>
      <w:tr w:rsidR="00BB0BE3" w:rsidRPr="00BB0BE3" w14:paraId="1E9CE5F7" w14:textId="77777777" w:rsidTr="00E92572">
        <w:tc>
          <w:tcPr>
            <w:tcW w:w="1548" w:type="dxa"/>
          </w:tcPr>
          <w:p w14:paraId="5B9B0C56"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66351CC0" w14:textId="4F6E2DF6" w:rsidR="00BB0BE3" w:rsidRPr="00BB0BE3" w:rsidRDefault="001C73BF" w:rsidP="00E92572">
            <w:pPr>
              <w:pStyle w:val="BodyText"/>
              <w:spacing w:before="32"/>
              <w:rPr>
                <w:sz w:val="24"/>
                <w:szCs w:val="24"/>
              </w:rPr>
            </w:pPr>
            <w:r w:rsidRPr="001C73BF">
              <w:rPr>
                <w:sz w:val="24"/>
                <w:szCs w:val="24"/>
              </w:rPr>
              <w:t>Assessed following disaster events.</w:t>
            </w:r>
          </w:p>
        </w:tc>
      </w:tr>
    </w:tbl>
    <w:p w14:paraId="6A8E7305"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0"/>
        <w:gridCol w:w="7820"/>
      </w:tblGrid>
      <w:tr w:rsidR="00BB0BE3" w:rsidRPr="00BB0BE3" w14:paraId="1A733EBF" w14:textId="77777777" w:rsidTr="00E92572">
        <w:tc>
          <w:tcPr>
            <w:tcW w:w="1548" w:type="dxa"/>
          </w:tcPr>
          <w:p w14:paraId="17858CD4"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797862CD" w14:textId="45E6892D" w:rsidR="00BB0BE3" w:rsidRPr="00BB0BE3" w:rsidRDefault="001C73BF" w:rsidP="00E92572">
            <w:pPr>
              <w:pStyle w:val="BodyText"/>
              <w:spacing w:before="32"/>
              <w:rPr>
                <w:sz w:val="24"/>
                <w:szCs w:val="24"/>
              </w:rPr>
            </w:pPr>
            <w:r w:rsidRPr="001C73BF">
              <w:rPr>
                <w:sz w:val="24"/>
                <w:szCs w:val="24"/>
              </w:rPr>
              <w:t>More public spaces are revitalized for community engagement (int)</w:t>
            </w:r>
          </w:p>
        </w:tc>
      </w:tr>
      <w:tr w:rsidR="00BB0BE3" w:rsidRPr="00BB0BE3" w14:paraId="349714EF" w14:textId="77777777" w:rsidTr="00E92572">
        <w:tc>
          <w:tcPr>
            <w:tcW w:w="1548" w:type="dxa"/>
          </w:tcPr>
          <w:p w14:paraId="523AEAFF"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395608A9" w14:textId="6406305B" w:rsidR="00BB0BE3" w:rsidRPr="00BB0BE3" w:rsidRDefault="001C73BF" w:rsidP="00E92572">
            <w:pPr>
              <w:pStyle w:val="BodyText"/>
              <w:spacing w:before="32"/>
              <w:rPr>
                <w:sz w:val="24"/>
                <w:szCs w:val="24"/>
              </w:rPr>
            </w:pPr>
            <w:r w:rsidRPr="001C73BF">
              <w:rPr>
                <w:sz w:val="24"/>
                <w:szCs w:val="24"/>
              </w:rPr>
              <w:t>Number of individuals who reported that they contributed to efforts to improve public spaces through design, revitalization, or development (e.g., parks, community gathering areas, public art, creative placemaking projects) as a direct result of Extension-supported initiatives.</w:t>
            </w:r>
          </w:p>
        </w:tc>
      </w:tr>
      <w:tr w:rsidR="00BB0BE3" w:rsidRPr="00BB0BE3" w14:paraId="28FA44F6" w14:textId="77777777" w:rsidTr="00E92572">
        <w:tc>
          <w:tcPr>
            <w:tcW w:w="1548" w:type="dxa"/>
          </w:tcPr>
          <w:p w14:paraId="230AF0FD"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75CBDD6B" w14:textId="45FD4EAA" w:rsidR="00BB0BE3" w:rsidRPr="00BB0BE3" w:rsidRDefault="001C73BF" w:rsidP="00E92572">
            <w:pPr>
              <w:pStyle w:val="BodyText"/>
              <w:spacing w:before="32"/>
              <w:rPr>
                <w:sz w:val="24"/>
                <w:szCs w:val="24"/>
              </w:rPr>
            </w:pPr>
            <w:r w:rsidRPr="001C73BF">
              <w:rPr>
                <w:sz w:val="24"/>
                <w:szCs w:val="24"/>
              </w:rPr>
              <w:t>Site visits, surveys, photo documentation, and community feedback.</w:t>
            </w:r>
          </w:p>
        </w:tc>
      </w:tr>
      <w:tr w:rsidR="00BB0BE3" w:rsidRPr="00BB0BE3" w14:paraId="7BADDA7C" w14:textId="77777777" w:rsidTr="00E92572">
        <w:tc>
          <w:tcPr>
            <w:tcW w:w="1548" w:type="dxa"/>
          </w:tcPr>
          <w:p w14:paraId="24346B35"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0A01A1EE" w14:textId="01B48859" w:rsidR="00BB0BE3" w:rsidRPr="00BB0BE3" w:rsidRDefault="001C73BF" w:rsidP="001C73BF">
            <w:pPr>
              <w:pStyle w:val="BodyText"/>
              <w:spacing w:before="32"/>
              <w:rPr>
                <w:sz w:val="24"/>
                <w:szCs w:val="24"/>
              </w:rPr>
            </w:pPr>
            <w:r w:rsidRPr="001C73BF">
              <w:rPr>
                <w:sz w:val="24"/>
                <w:szCs w:val="24"/>
              </w:rPr>
              <w:t>Tracked annually.</w:t>
            </w:r>
          </w:p>
        </w:tc>
      </w:tr>
    </w:tbl>
    <w:p w14:paraId="0AA92F3A" w14:textId="77777777" w:rsidR="00BB0BE3" w:rsidRP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31"/>
        <w:gridCol w:w="7819"/>
      </w:tblGrid>
      <w:tr w:rsidR="00BB0BE3" w:rsidRPr="00BB0BE3" w14:paraId="16DAF722" w14:textId="77777777" w:rsidTr="00E92572">
        <w:tc>
          <w:tcPr>
            <w:tcW w:w="1548" w:type="dxa"/>
          </w:tcPr>
          <w:p w14:paraId="0129F104"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410FD13D" w14:textId="1C7AD35A" w:rsidR="00BB0BE3" w:rsidRPr="00BB0BE3" w:rsidRDefault="001C73BF" w:rsidP="00E92572">
            <w:pPr>
              <w:pStyle w:val="BodyText"/>
              <w:spacing w:before="32"/>
              <w:rPr>
                <w:sz w:val="24"/>
                <w:szCs w:val="24"/>
              </w:rPr>
            </w:pPr>
            <w:r w:rsidRPr="001C73BF">
              <w:rPr>
                <w:sz w:val="24"/>
                <w:szCs w:val="24"/>
              </w:rPr>
              <w:t>More individuals engage in local governance and civic groups (int)</w:t>
            </w:r>
          </w:p>
        </w:tc>
      </w:tr>
      <w:tr w:rsidR="00BB0BE3" w:rsidRPr="00BB0BE3" w14:paraId="325F5150" w14:textId="77777777" w:rsidTr="00E92572">
        <w:tc>
          <w:tcPr>
            <w:tcW w:w="1548" w:type="dxa"/>
          </w:tcPr>
          <w:p w14:paraId="6947A240"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7C28555A" w14:textId="1DAB16C4" w:rsidR="00BB0BE3" w:rsidRPr="00BB0BE3" w:rsidRDefault="001C73BF" w:rsidP="00E92572">
            <w:pPr>
              <w:pStyle w:val="BodyText"/>
              <w:spacing w:before="32"/>
              <w:rPr>
                <w:sz w:val="24"/>
                <w:szCs w:val="24"/>
              </w:rPr>
            </w:pPr>
            <w:r w:rsidRPr="001C73BF">
              <w:rPr>
                <w:sz w:val="24"/>
                <w:szCs w:val="24"/>
              </w:rPr>
              <w:t xml:space="preserve">Number of participants who reported increased involvement in local governance, community groups, or public forums </w:t>
            </w:r>
            <w:proofErr w:type="gramStart"/>
            <w:r w:rsidRPr="001C73BF">
              <w:rPr>
                <w:sz w:val="24"/>
                <w:szCs w:val="24"/>
              </w:rPr>
              <w:t>as a result of</w:t>
            </w:r>
            <w:proofErr w:type="gramEnd"/>
            <w:r w:rsidRPr="001C73BF">
              <w:rPr>
                <w:sz w:val="24"/>
                <w:szCs w:val="24"/>
              </w:rPr>
              <w:t xml:space="preserve"> program participation.</w:t>
            </w:r>
          </w:p>
        </w:tc>
      </w:tr>
      <w:tr w:rsidR="00BB0BE3" w:rsidRPr="00BB0BE3" w14:paraId="442988EB" w14:textId="77777777" w:rsidTr="00E92572">
        <w:tc>
          <w:tcPr>
            <w:tcW w:w="1548" w:type="dxa"/>
          </w:tcPr>
          <w:p w14:paraId="0DBF2808"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796F76B2" w14:textId="0B5A66DB" w:rsidR="00BB0BE3" w:rsidRPr="00BB0BE3" w:rsidRDefault="001C73BF" w:rsidP="001C73BF">
            <w:pPr>
              <w:pStyle w:val="BodyText"/>
              <w:spacing w:before="32"/>
              <w:rPr>
                <w:sz w:val="24"/>
                <w:szCs w:val="24"/>
              </w:rPr>
            </w:pPr>
            <w:r w:rsidRPr="001C73BF">
              <w:rPr>
                <w:sz w:val="24"/>
                <w:szCs w:val="24"/>
              </w:rPr>
              <w:t>Participant self-reporting and organizational membership tracking.</w:t>
            </w:r>
          </w:p>
        </w:tc>
      </w:tr>
      <w:tr w:rsidR="00BB0BE3" w:rsidRPr="00BB0BE3" w14:paraId="14FAA68F" w14:textId="77777777" w:rsidTr="00E92572">
        <w:tc>
          <w:tcPr>
            <w:tcW w:w="1548" w:type="dxa"/>
          </w:tcPr>
          <w:p w14:paraId="08767BC3"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447699E4" w14:textId="0C2F7ABD" w:rsidR="00BB0BE3" w:rsidRPr="00BB0BE3" w:rsidRDefault="001C73BF" w:rsidP="00E92572">
            <w:pPr>
              <w:pStyle w:val="BodyText"/>
              <w:spacing w:before="32"/>
              <w:rPr>
                <w:sz w:val="24"/>
                <w:szCs w:val="24"/>
              </w:rPr>
            </w:pPr>
            <w:r w:rsidRPr="001C73BF">
              <w:rPr>
                <w:sz w:val="24"/>
                <w:szCs w:val="24"/>
              </w:rPr>
              <w:t>Follow-up at 6 and 12 months.</w:t>
            </w:r>
          </w:p>
        </w:tc>
      </w:tr>
    </w:tbl>
    <w:p w14:paraId="025E9294" w14:textId="77777777" w:rsidR="00BB0BE3" w:rsidRDefault="00BB0BE3" w:rsidP="00BB0BE3">
      <w:pPr>
        <w:pStyle w:val="NoSpacing"/>
        <w:rPr>
          <w:rFonts w:ascii="Arial" w:hAnsi="Arial" w:cs="Arial"/>
        </w:rPr>
      </w:pPr>
    </w:p>
    <w:tbl>
      <w:tblPr>
        <w:tblStyle w:val="TableGrid"/>
        <w:tblW w:w="0" w:type="auto"/>
        <w:tblLook w:val="04A0" w:firstRow="1" w:lastRow="0" w:firstColumn="1" w:lastColumn="0" w:noHBand="0" w:noVBand="1"/>
      </w:tblPr>
      <w:tblGrid>
        <w:gridCol w:w="1529"/>
        <w:gridCol w:w="7821"/>
      </w:tblGrid>
      <w:tr w:rsidR="00BB0BE3" w:rsidRPr="00BB0BE3" w14:paraId="3A1D468F" w14:textId="77777777" w:rsidTr="00E92572">
        <w:tc>
          <w:tcPr>
            <w:tcW w:w="1548" w:type="dxa"/>
          </w:tcPr>
          <w:p w14:paraId="4F1AA021" w14:textId="77777777" w:rsidR="00BB0BE3" w:rsidRPr="00BB0BE3" w:rsidRDefault="00BB0BE3" w:rsidP="00E92572">
            <w:pPr>
              <w:pStyle w:val="BodyText"/>
              <w:spacing w:before="32"/>
              <w:jc w:val="right"/>
              <w:rPr>
                <w:sz w:val="24"/>
                <w:szCs w:val="24"/>
              </w:rPr>
            </w:pPr>
            <w:r w:rsidRPr="00BB0BE3">
              <w:rPr>
                <w:sz w:val="24"/>
                <w:szCs w:val="24"/>
              </w:rPr>
              <w:t>Outcome</w:t>
            </w:r>
          </w:p>
        </w:tc>
        <w:tc>
          <w:tcPr>
            <w:tcW w:w="8128" w:type="dxa"/>
          </w:tcPr>
          <w:p w14:paraId="4B7DF498" w14:textId="54EF49B8" w:rsidR="00BB0BE3" w:rsidRPr="00BB0BE3" w:rsidRDefault="001C73BF" w:rsidP="00E92572">
            <w:pPr>
              <w:pStyle w:val="BodyText"/>
              <w:spacing w:before="32"/>
              <w:rPr>
                <w:sz w:val="24"/>
                <w:szCs w:val="24"/>
              </w:rPr>
            </w:pPr>
            <w:r w:rsidRPr="001C73BF">
              <w:rPr>
                <w:sz w:val="24"/>
                <w:szCs w:val="24"/>
              </w:rPr>
              <w:t>Expanded partnerships enhance problem-solving and resource-sharing</w:t>
            </w:r>
          </w:p>
        </w:tc>
      </w:tr>
      <w:tr w:rsidR="00BB0BE3" w:rsidRPr="00BB0BE3" w14:paraId="380690F3" w14:textId="77777777" w:rsidTr="00E92572">
        <w:tc>
          <w:tcPr>
            <w:tcW w:w="1548" w:type="dxa"/>
          </w:tcPr>
          <w:p w14:paraId="10289F8A" w14:textId="77777777" w:rsidR="00BB0BE3" w:rsidRPr="00BB0BE3" w:rsidRDefault="00BB0BE3" w:rsidP="00E92572">
            <w:pPr>
              <w:pStyle w:val="BodyText"/>
              <w:spacing w:before="32"/>
              <w:jc w:val="right"/>
              <w:rPr>
                <w:sz w:val="24"/>
                <w:szCs w:val="24"/>
              </w:rPr>
            </w:pPr>
            <w:r w:rsidRPr="00BB0BE3">
              <w:rPr>
                <w:sz w:val="24"/>
                <w:szCs w:val="24"/>
              </w:rPr>
              <w:t>Indicator</w:t>
            </w:r>
          </w:p>
        </w:tc>
        <w:tc>
          <w:tcPr>
            <w:tcW w:w="8128" w:type="dxa"/>
          </w:tcPr>
          <w:p w14:paraId="541C1D1E" w14:textId="77777777" w:rsidR="00BB0BE3" w:rsidRDefault="001C73BF" w:rsidP="001C73BF">
            <w:pPr>
              <w:pStyle w:val="BodyText"/>
              <w:numPr>
                <w:ilvl w:val="0"/>
                <w:numId w:val="5"/>
              </w:numPr>
              <w:spacing w:before="32"/>
              <w:rPr>
                <w:sz w:val="24"/>
                <w:szCs w:val="24"/>
              </w:rPr>
            </w:pPr>
            <w:r w:rsidRPr="001C73BF">
              <w:rPr>
                <w:sz w:val="24"/>
                <w:szCs w:val="24"/>
              </w:rPr>
              <w:t xml:space="preserve">Number of communities or organizations securing external funding (grants, sponsorships, or resource investments) </w:t>
            </w:r>
            <w:proofErr w:type="gramStart"/>
            <w:r w:rsidRPr="001C73BF">
              <w:rPr>
                <w:sz w:val="24"/>
                <w:szCs w:val="24"/>
              </w:rPr>
              <w:t>as a result of</w:t>
            </w:r>
            <w:proofErr w:type="gramEnd"/>
            <w:r w:rsidRPr="001C73BF">
              <w:rPr>
                <w:sz w:val="24"/>
                <w:szCs w:val="24"/>
              </w:rPr>
              <w:t xml:space="preserve"> Extension support.</w:t>
            </w:r>
          </w:p>
          <w:p w14:paraId="017D1E78" w14:textId="3E7E91D5" w:rsidR="001C73BF" w:rsidRPr="00BB0BE3" w:rsidRDefault="001C73BF" w:rsidP="001C73BF">
            <w:pPr>
              <w:pStyle w:val="BodyText"/>
              <w:numPr>
                <w:ilvl w:val="0"/>
                <w:numId w:val="5"/>
              </w:numPr>
              <w:spacing w:before="32"/>
              <w:rPr>
                <w:sz w:val="24"/>
                <w:szCs w:val="24"/>
              </w:rPr>
            </w:pPr>
            <w:r w:rsidRPr="001C73BF">
              <w:rPr>
                <w:sz w:val="24"/>
                <w:szCs w:val="24"/>
              </w:rPr>
              <w:t xml:space="preserve">Number of new collaborative networks, partnerships, or cross-sector initiatives developed to address local challenges </w:t>
            </w:r>
            <w:proofErr w:type="gramStart"/>
            <w:r w:rsidRPr="001C73BF">
              <w:rPr>
                <w:sz w:val="24"/>
                <w:szCs w:val="24"/>
              </w:rPr>
              <w:t>as a result of</w:t>
            </w:r>
            <w:proofErr w:type="gramEnd"/>
            <w:r w:rsidRPr="001C73BF">
              <w:rPr>
                <w:sz w:val="24"/>
                <w:szCs w:val="24"/>
              </w:rPr>
              <w:t xml:space="preserve"> Extension-supported programs.</w:t>
            </w:r>
          </w:p>
        </w:tc>
      </w:tr>
      <w:tr w:rsidR="00BB0BE3" w:rsidRPr="00BB0BE3" w14:paraId="14ECC617" w14:textId="77777777" w:rsidTr="00E92572">
        <w:tc>
          <w:tcPr>
            <w:tcW w:w="1548" w:type="dxa"/>
          </w:tcPr>
          <w:p w14:paraId="6EF38C53" w14:textId="77777777" w:rsidR="00BB0BE3" w:rsidRPr="00BB0BE3" w:rsidRDefault="00BB0BE3" w:rsidP="00E92572">
            <w:pPr>
              <w:pStyle w:val="BodyText"/>
              <w:spacing w:before="32"/>
              <w:jc w:val="right"/>
              <w:rPr>
                <w:sz w:val="24"/>
                <w:szCs w:val="24"/>
              </w:rPr>
            </w:pPr>
            <w:r w:rsidRPr="00BB0BE3">
              <w:rPr>
                <w:sz w:val="24"/>
                <w:szCs w:val="24"/>
              </w:rPr>
              <w:t>Method</w:t>
            </w:r>
          </w:p>
        </w:tc>
        <w:tc>
          <w:tcPr>
            <w:tcW w:w="8128" w:type="dxa"/>
          </w:tcPr>
          <w:p w14:paraId="105B2D7D" w14:textId="275FB9BE" w:rsidR="00BB0BE3" w:rsidRPr="00BB0BE3" w:rsidRDefault="001C73BF" w:rsidP="00E92572">
            <w:pPr>
              <w:pStyle w:val="BodyText"/>
              <w:spacing w:before="32"/>
              <w:rPr>
                <w:sz w:val="24"/>
                <w:szCs w:val="24"/>
              </w:rPr>
            </w:pPr>
            <w:r w:rsidRPr="001C73BF">
              <w:rPr>
                <w:sz w:val="24"/>
                <w:szCs w:val="24"/>
              </w:rPr>
              <w:t>grant tracking, partners surveys, local reports</w:t>
            </w:r>
          </w:p>
        </w:tc>
      </w:tr>
      <w:tr w:rsidR="00BB0BE3" w:rsidRPr="00BB0BE3" w14:paraId="4FE7F62B" w14:textId="77777777" w:rsidTr="00E92572">
        <w:tc>
          <w:tcPr>
            <w:tcW w:w="1548" w:type="dxa"/>
          </w:tcPr>
          <w:p w14:paraId="5A78243D" w14:textId="77777777" w:rsidR="00BB0BE3" w:rsidRPr="00BB0BE3" w:rsidRDefault="00BB0BE3" w:rsidP="00E92572">
            <w:pPr>
              <w:pStyle w:val="BodyText"/>
              <w:spacing w:before="32"/>
              <w:jc w:val="right"/>
              <w:rPr>
                <w:sz w:val="24"/>
                <w:szCs w:val="24"/>
              </w:rPr>
            </w:pPr>
            <w:r w:rsidRPr="00BB0BE3">
              <w:rPr>
                <w:sz w:val="24"/>
                <w:szCs w:val="24"/>
              </w:rPr>
              <w:t>Timeline</w:t>
            </w:r>
          </w:p>
        </w:tc>
        <w:tc>
          <w:tcPr>
            <w:tcW w:w="8128" w:type="dxa"/>
          </w:tcPr>
          <w:p w14:paraId="4E1327BA" w14:textId="1A62A48D" w:rsidR="00BB0BE3" w:rsidRPr="00BB0BE3" w:rsidRDefault="001C73BF" w:rsidP="00E92572">
            <w:pPr>
              <w:pStyle w:val="BodyText"/>
              <w:spacing w:before="32"/>
              <w:rPr>
                <w:sz w:val="24"/>
                <w:szCs w:val="24"/>
              </w:rPr>
            </w:pPr>
            <w:r w:rsidRPr="001C73BF">
              <w:rPr>
                <w:sz w:val="24"/>
                <w:szCs w:val="24"/>
              </w:rPr>
              <w:t>annually</w:t>
            </w:r>
          </w:p>
        </w:tc>
      </w:tr>
    </w:tbl>
    <w:p w14:paraId="370D47AB" w14:textId="77777777" w:rsidR="001C73BF" w:rsidRDefault="001C73BF" w:rsidP="00BB0BE3">
      <w:pPr>
        <w:pStyle w:val="NoSpacing"/>
        <w:rPr>
          <w:rFonts w:ascii="Arial" w:hAnsi="Arial" w:cs="Arial"/>
          <w:u w:val="single"/>
        </w:rPr>
      </w:pPr>
    </w:p>
    <w:tbl>
      <w:tblPr>
        <w:tblStyle w:val="TableGrid"/>
        <w:tblW w:w="0" w:type="auto"/>
        <w:tblLook w:val="04A0" w:firstRow="1" w:lastRow="0" w:firstColumn="1" w:lastColumn="0" w:noHBand="0" w:noVBand="1"/>
      </w:tblPr>
      <w:tblGrid>
        <w:gridCol w:w="1531"/>
        <w:gridCol w:w="7819"/>
      </w:tblGrid>
      <w:tr w:rsidR="001C73BF" w:rsidRPr="00BB0BE3" w14:paraId="26C877FB" w14:textId="77777777" w:rsidTr="00A64A03">
        <w:tc>
          <w:tcPr>
            <w:tcW w:w="1548" w:type="dxa"/>
          </w:tcPr>
          <w:p w14:paraId="2344AACD" w14:textId="77777777" w:rsidR="001C73BF" w:rsidRPr="00BB0BE3" w:rsidRDefault="001C73BF" w:rsidP="00A64A03">
            <w:pPr>
              <w:pStyle w:val="BodyText"/>
              <w:spacing w:before="32"/>
              <w:jc w:val="right"/>
              <w:rPr>
                <w:sz w:val="24"/>
                <w:szCs w:val="24"/>
              </w:rPr>
            </w:pPr>
            <w:r w:rsidRPr="00BB0BE3">
              <w:rPr>
                <w:sz w:val="24"/>
                <w:szCs w:val="24"/>
              </w:rPr>
              <w:t>Outcome</w:t>
            </w:r>
          </w:p>
        </w:tc>
        <w:tc>
          <w:tcPr>
            <w:tcW w:w="8128" w:type="dxa"/>
          </w:tcPr>
          <w:p w14:paraId="1C593EBC" w14:textId="51EA4B3E" w:rsidR="001C73BF" w:rsidRPr="00BB0BE3" w:rsidRDefault="00B52400" w:rsidP="00A64A03">
            <w:pPr>
              <w:pStyle w:val="BodyText"/>
              <w:spacing w:before="32"/>
              <w:rPr>
                <w:sz w:val="24"/>
                <w:szCs w:val="24"/>
              </w:rPr>
            </w:pPr>
            <w:r w:rsidRPr="00B52400">
              <w:rPr>
                <w:sz w:val="24"/>
                <w:szCs w:val="24"/>
              </w:rPr>
              <w:t>increased participation in cultural and arts-based programs</w:t>
            </w:r>
          </w:p>
        </w:tc>
      </w:tr>
      <w:tr w:rsidR="001C73BF" w:rsidRPr="00BB0BE3" w14:paraId="733C09BD" w14:textId="77777777" w:rsidTr="00A64A03">
        <w:tc>
          <w:tcPr>
            <w:tcW w:w="1548" w:type="dxa"/>
          </w:tcPr>
          <w:p w14:paraId="73AFAF2C" w14:textId="77777777" w:rsidR="001C73BF" w:rsidRPr="00BB0BE3" w:rsidRDefault="001C73BF" w:rsidP="00A64A03">
            <w:pPr>
              <w:pStyle w:val="BodyText"/>
              <w:spacing w:before="32"/>
              <w:jc w:val="right"/>
              <w:rPr>
                <w:sz w:val="24"/>
                <w:szCs w:val="24"/>
              </w:rPr>
            </w:pPr>
            <w:r w:rsidRPr="00BB0BE3">
              <w:rPr>
                <w:sz w:val="24"/>
                <w:szCs w:val="24"/>
              </w:rPr>
              <w:t>Indicator</w:t>
            </w:r>
          </w:p>
        </w:tc>
        <w:tc>
          <w:tcPr>
            <w:tcW w:w="8128" w:type="dxa"/>
          </w:tcPr>
          <w:p w14:paraId="35E026C4" w14:textId="07296E8F" w:rsidR="001C73BF" w:rsidRPr="00BB0BE3" w:rsidRDefault="00B52400" w:rsidP="00A64A03">
            <w:pPr>
              <w:pStyle w:val="BodyText"/>
              <w:spacing w:before="32"/>
              <w:rPr>
                <w:sz w:val="24"/>
                <w:szCs w:val="24"/>
              </w:rPr>
            </w:pPr>
            <w:r w:rsidRPr="00B52400">
              <w:rPr>
                <w:sz w:val="24"/>
                <w:szCs w:val="24"/>
              </w:rPr>
              <w:t>Number of participants in Extension arts or design-based community programs (e.g., story circles, murals, design charettes, creative placemaking) who reported increased connection or belonging.</w:t>
            </w:r>
          </w:p>
        </w:tc>
      </w:tr>
      <w:tr w:rsidR="001C73BF" w:rsidRPr="00BB0BE3" w14:paraId="44ABFDDB" w14:textId="77777777" w:rsidTr="00A64A03">
        <w:tc>
          <w:tcPr>
            <w:tcW w:w="1548" w:type="dxa"/>
          </w:tcPr>
          <w:p w14:paraId="614E7E03" w14:textId="77777777" w:rsidR="001C73BF" w:rsidRPr="00BB0BE3" w:rsidRDefault="001C73BF" w:rsidP="00A64A03">
            <w:pPr>
              <w:pStyle w:val="BodyText"/>
              <w:spacing w:before="32"/>
              <w:jc w:val="right"/>
              <w:rPr>
                <w:sz w:val="24"/>
                <w:szCs w:val="24"/>
              </w:rPr>
            </w:pPr>
            <w:r w:rsidRPr="00BB0BE3">
              <w:rPr>
                <w:sz w:val="24"/>
                <w:szCs w:val="24"/>
              </w:rPr>
              <w:t>Method</w:t>
            </w:r>
          </w:p>
        </w:tc>
        <w:tc>
          <w:tcPr>
            <w:tcW w:w="8128" w:type="dxa"/>
          </w:tcPr>
          <w:p w14:paraId="1B4517BA" w14:textId="5AB57BE4" w:rsidR="001C73BF" w:rsidRPr="00BB0BE3" w:rsidRDefault="00B52400" w:rsidP="00A64A03">
            <w:pPr>
              <w:pStyle w:val="BodyText"/>
              <w:spacing w:before="32"/>
              <w:rPr>
                <w:sz w:val="24"/>
                <w:szCs w:val="24"/>
              </w:rPr>
            </w:pPr>
            <w:r w:rsidRPr="00B52400">
              <w:rPr>
                <w:sz w:val="24"/>
                <w:szCs w:val="24"/>
              </w:rPr>
              <w:t>pre- and post- surveys from program participation,</w:t>
            </w:r>
          </w:p>
        </w:tc>
      </w:tr>
      <w:tr w:rsidR="001C73BF" w:rsidRPr="00BB0BE3" w14:paraId="7B4C5C9D" w14:textId="77777777" w:rsidTr="00A64A03">
        <w:tc>
          <w:tcPr>
            <w:tcW w:w="1548" w:type="dxa"/>
          </w:tcPr>
          <w:p w14:paraId="153698BF" w14:textId="77777777" w:rsidR="001C73BF" w:rsidRPr="00BB0BE3" w:rsidRDefault="001C73BF" w:rsidP="00A64A03">
            <w:pPr>
              <w:pStyle w:val="BodyText"/>
              <w:spacing w:before="32"/>
              <w:jc w:val="right"/>
              <w:rPr>
                <w:sz w:val="24"/>
                <w:szCs w:val="24"/>
              </w:rPr>
            </w:pPr>
            <w:r w:rsidRPr="00BB0BE3">
              <w:rPr>
                <w:sz w:val="24"/>
                <w:szCs w:val="24"/>
              </w:rPr>
              <w:lastRenderedPageBreak/>
              <w:t>Timeline</w:t>
            </w:r>
          </w:p>
        </w:tc>
        <w:tc>
          <w:tcPr>
            <w:tcW w:w="8128" w:type="dxa"/>
          </w:tcPr>
          <w:p w14:paraId="6A8E9739" w14:textId="40120908" w:rsidR="001C73BF" w:rsidRPr="00BB0BE3" w:rsidRDefault="00B52400" w:rsidP="00A64A03">
            <w:pPr>
              <w:pStyle w:val="BodyText"/>
              <w:spacing w:before="32"/>
              <w:rPr>
                <w:sz w:val="24"/>
                <w:szCs w:val="24"/>
              </w:rPr>
            </w:pPr>
            <w:r w:rsidRPr="00B52400">
              <w:rPr>
                <w:sz w:val="24"/>
                <w:szCs w:val="24"/>
              </w:rPr>
              <w:t>after program participation</w:t>
            </w:r>
          </w:p>
        </w:tc>
      </w:tr>
    </w:tbl>
    <w:p w14:paraId="095F56B7" w14:textId="77777777" w:rsidR="001C73BF" w:rsidRDefault="001C73BF" w:rsidP="00BB0BE3">
      <w:pPr>
        <w:pStyle w:val="NoSpacing"/>
        <w:rPr>
          <w:rFonts w:ascii="Arial" w:hAnsi="Arial" w:cs="Arial"/>
          <w:u w:val="single"/>
        </w:rPr>
      </w:pPr>
    </w:p>
    <w:tbl>
      <w:tblPr>
        <w:tblStyle w:val="TableGrid"/>
        <w:tblW w:w="0" w:type="auto"/>
        <w:tblLook w:val="04A0" w:firstRow="1" w:lastRow="0" w:firstColumn="1" w:lastColumn="0" w:noHBand="0" w:noVBand="1"/>
      </w:tblPr>
      <w:tblGrid>
        <w:gridCol w:w="1531"/>
        <w:gridCol w:w="7819"/>
      </w:tblGrid>
      <w:tr w:rsidR="001C73BF" w:rsidRPr="00BB0BE3" w14:paraId="005BA1B9" w14:textId="77777777" w:rsidTr="00A64A03">
        <w:tc>
          <w:tcPr>
            <w:tcW w:w="1548" w:type="dxa"/>
          </w:tcPr>
          <w:p w14:paraId="406327C0" w14:textId="77777777" w:rsidR="001C73BF" w:rsidRPr="00BB0BE3" w:rsidRDefault="001C73BF" w:rsidP="00A64A03">
            <w:pPr>
              <w:pStyle w:val="BodyText"/>
              <w:spacing w:before="32"/>
              <w:jc w:val="right"/>
              <w:rPr>
                <w:sz w:val="24"/>
                <w:szCs w:val="24"/>
              </w:rPr>
            </w:pPr>
            <w:r w:rsidRPr="00BB0BE3">
              <w:rPr>
                <w:sz w:val="24"/>
                <w:szCs w:val="24"/>
              </w:rPr>
              <w:t>Outcome</w:t>
            </w:r>
          </w:p>
        </w:tc>
        <w:tc>
          <w:tcPr>
            <w:tcW w:w="8128" w:type="dxa"/>
          </w:tcPr>
          <w:p w14:paraId="36F8C2F2" w14:textId="7C05EF05" w:rsidR="001C73BF" w:rsidRPr="00BB0BE3" w:rsidRDefault="00B52400" w:rsidP="00B52400">
            <w:pPr>
              <w:pStyle w:val="BodyText"/>
              <w:tabs>
                <w:tab w:val="left" w:pos="988"/>
              </w:tabs>
              <w:spacing w:before="32"/>
              <w:rPr>
                <w:sz w:val="24"/>
                <w:szCs w:val="24"/>
              </w:rPr>
            </w:pPr>
            <w:r w:rsidRPr="00B52400">
              <w:rPr>
                <w:sz w:val="24"/>
                <w:szCs w:val="24"/>
              </w:rPr>
              <w:t>Improved quality of life through connection and civic engagement</w:t>
            </w:r>
          </w:p>
        </w:tc>
      </w:tr>
      <w:tr w:rsidR="001C73BF" w:rsidRPr="00BB0BE3" w14:paraId="3D3EB3B9" w14:textId="77777777" w:rsidTr="00A64A03">
        <w:tc>
          <w:tcPr>
            <w:tcW w:w="1548" w:type="dxa"/>
          </w:tcPr>
          <w:p w14:paraId="5657E795" w14:textId="77777777" w:rsidR="001C73BF" w:rsidRPr="00BB0BE3" w:rsidRDefault="001C73BF" w:rsidP="00A64A03">
            <w:pPr>
              <w:pStyle w:val="BodyText"/>
              <w:spacing w:before="32"/>
              <w:jc w:val="right"/>
              <w:rPr>
                <w:sz w:val="24"/>
                <w:szCs w:val="24"/>
              </w:rPr>
            </w:pPr>
            <w:r w:rsidRPr="00BB0BE3">
              <w:rPr>
                <w:sz w:val="24"/>
                <w:szCs w:val="24"/>
              </w:rPr>
              <w:t>Indicator</w:t>
            </w:r>
          </w:p>
        </w:tc>
        <w:tc>
          <w:tcPr>
            <w:tcW w:w="8128" w:type="dxa"/>
          </w:tcPr>
          <w:p w14:paraId="055C33DF" w14:textId="51409B16" w:rsidR="001C73BF" w:rsidRPr="00BB0BE3" w:rsidRDefault="00B52400" w:rsidP="00A64A03">
            <w:pPr>
              <w:pStyle w:val="BodyText"/>
              <w:spacing w:before="32"/>
              <w:rPr>
                <w:sz w:val="24"/>
                <w:szCs w:val="24"/>
              </w:rPr>
            </w:pPr>
            <w:r w:rsidRPr="00B52400">
              <w:rPr>
                <w:sz w:val="24"/>
                <w:szCs w:val="24"/>
              </w:rPr>
              <w:t xml:space="preserve">Number of participants who reported experiencing stronger ties to their community </w:t>
            </w:r>
            <w:proofErr w:type="gramStart"/>
            <w:r w:rsidRPr="00B52400">
              <w:rPr>
                <w:sz w:val="24"/>
                <w:szCs w:val="24"/>
              </w:rPr>
              <w:t>as a result of</w:t>
            </w:r>
            <w:proofErr w:type="gramEnd"/>
            <w:r w:rsidRPr="00B52400">
              <w:rPr>
                <w:sz w:val="24"/>
                <w:szCs w:val="24"/>
              </w:rPr>
              <w:t xml:space="preserve"> participating in Extension arts programming with others.</w:t>
            </w:r>
          </w:p>
        </w:tc>
      </w:tr>
      <w:tr w:rsidR="001C73BF" w:rsidRPr="00BB0BE3" w14:paraId="2E5AA592" w14:textId="77777777" w:rsidTr="00A64A03">
        <w:tc>
          <w:tcPr>
            <w:tcW w:w="1548" w:type="dxa"/>
          </w:tcPr>
          <w:p w14:paraId="2981A583" w14:textId="77777777" w:rsidR="001C73BF" w:rsidRPr="00BB0BE3" w:rsidRDefault="001C73BF" w:rsidP="00A64A03">
            <w:pPr>
              <w:pStyle w:val="BodyText"/>
              <w:spacing w:before="32"/>
              <w:jc w:val="right"/>
              <w:rPr>
                <w:sz w:val="24"/>
                <w:szCs w:val="24"/>
              </w:rPr>
            </w:pPr>
            <w:r w:rsidRPr="00BB0BE3">
              <w:rPr>
                <w:sz w:val="24"/>
                <w:szCs w:val="24"/>
              </w:rPr>
              <w:t>Method</w:t>
            </w:r>
          </w:p>
        </w:tc>
        <w:tc>
          <w:tcPr>
            <w:tcW w:w="8128" w:type="dxa"/>
          </w:tcPr>
          <w:p w14:paraId="6DB75C3E" w14:textId="4816C4C4" w:rsidR="001C73BF" w:rsidRPr="00BB0BE3" w:rsidRDefault="00B52400" w:rsidP="00A64A03">
            <w:pPr>
              <w:pStyle w:val="BodyText"/>
              <w:spacing w:before="32"/>
              <w:rPr>
                <w:sz w:val="24"/>
                <w:szCs w:val="24"/>
              </w:rPr>
            </w:pPr>
            <w:r w:rsidRPr="00B52400">
              <w:rPr>
                <w:sz w:val="24"/>
                <w:szCs w:val="24"/>
              </w:rPr>
              <w:t>pre- and post- surveys from program participation</w:t>
            </w:r>
          </w:p>
        </w:tc>
      </w:tr>
      <w:tr w:rsidR="001C73BF" w:rsidRPr="00BB0BE3" w14:paraId="594B3294" w14:textId="77777777" w:rsidTr="00A64A03">
        <w:tc>
          <w:tcPr>
            <w:tcW w:w="1548" w:type="dxa"/>
          </w:tcPr>
          <w:p w14:paraId="668E8D01" w14:textId="77777777" w:rsidR="001C73BF" w:rsidRPr="00BB0BE3" w:rsidRDefault="001C73BF" w:rsidP="00A64A03">
            <w:pPr>
              <w:pStyle w:val="BodyText"/>
              <w:spacing w:before="32"/>
              <w:jc w:val="right"/>
              <w:rPr>
                <w:sz w:val="24"/>
                <w:szCs w:val="24"/>
              </w:rPr>
            </w:pPr>
            <w:r w:rsidRPr="00BB0BE3">
              <w:rPr>
                <w:sz w:val="24"/>
                <w:szCs w:val="24"/>
              </w:rPr>
              <w:t>Timeline</w:t>
            </w:r>
          </w:p>
        </w:tc>
        <w:tc>
          <w:tcPr>
            <w:tcW w:w="8128" w:type="dxa"/>
          </w:tcPr>
          <w:p w14:paraId="05C45DB2" w14:textId="2608F787" w:rsidR="001C73BF" w:rsidRPr="00BB0BE3" w:rsidRDefault="00B52400" w:rsidP="00A64A03">
            <w:pPr>
              <w:pStyle w:val="BodyText"/>
              <w:spacing w:before="32"/>
              <w:rPr>
                <w:sz w:val="24"/>
                <w:szCs w:val="24"/>
              </w:rPr>
            </w:pPr>
            <w:r w:rsidRPr="00B52400">
              <w:rPr>
                <w:sz w:val="24"/>
                <w:szCs w:val="24"/>
              </w:rPr>
              <w:t>after program participation</w:t>
            </w:r>
          </w:p>
        </w:tc>
      </w:tr>
    </w:tbl>
    <w:p w14:paraId="37C94B86" w14:textId="77777777" w:rsidR="001C73BF" w:rsidRDefault="001C73BF" w:rsidP="00BB0BE3">
      <w:pPr>
        <w:pStyle w:val="NoSpacing"/>
        <w:rPr>
          <w:rFonts w:ascii="Arial" w:hAnsi="Arial" w:cs="Arial"/>
          <w:u w:val="single"/>
        </w:rPr>
      </w:pPr>
    </w:p>
    <w:tbl>
      <w:tblPr>
        <w:tblStyle w:val="TableGrid"/>
        <w:tblW w:w="0" w:type="auto"/>
        <w:tblLook w:val="04A0" w:firstRow="1" w:lastRow="0" w:firstColumn="1" w:lastColumn="0" w:noHBand="0" w:noVBand="1"/>
      </w:tblPr>
      <w:tblGrid>
        <w:gridCol w:w="1531"/>
        <w:gridCol w:w="7819"/>
      </w:tblGrid>
      <w:tr w:rsidR="001C73BF" w:rsidRPr="00BB0BE3" w14:paraId="76F4698B" w14:textId="77777777" w:rsidTr="00A64A03">
        <w:tc>
          <w:tcPr>
            <w:tcW w:w="1548" w:type="dxa"/>
          </w:tcPr>
          <w:p w14:paraId="0504A2DB" w14:textId="77777777" w:rsidR="001C73BF" w:rsidRPr="00BB0BE3" w:rsidRDefault="001C73BF" w:rsidP="00A64A03">
            <w:pPr>
              <w:pStyle w:val="BodyText"/>
              <w:spacing w:before="32"/>
              <w:jc w:val="right"/>
              <w:rPr>
                <w:sz w:val="24"/>
                <w:szCs w:val="24"/>
              </w:rPr>
            </w:pPr>
            <w:r w:rsidRPr="00BB0BE3">
              <w:rPr>
                <w:sz w:val="24"/>
                <w:szCs w:val="24"/>
              </w:rPr>
              <w:t>Outcome</w:t>
            </w:r>
          </w:p>
        </w:tc>
        <w:tc>
          <w:tcPr>
            <w:tcW w:w="8128" w:type="dxa"/>
          </w:tcPr>
          <w:p w14:paraId="1DE86196" w14:textId="55CE544E" w:rsidR="001C73BF" w:rsidRPr="00BB0BE3" w:rsidRDefault="00B52400" w:rsidP="00A64A03">
            <w:pPr>
              <w:pStyle w:val="BodyText"/>
              <w:spacing w:before="32"/>
              <w:rPr>
                <w:sz w:val="24"/>
                <w:szCs w:val="24"/>
              </w:rPr>
            </w:pPr>
            <w:r w:rsidRPr="00B52400">
              <w:rPr>
                <w:sz w:val="24"/>
                <w:szCs w:val="24"/>
              </w:rPr>
              <w:t>Increased ability to access, interpret, and apply data for informed decision-making (initial).</w:t>
            </w:r>
          </w:p>
        </w:tc>
      </w:tr>
      <w:tr w:rsidR="001C73BF" w:rsidRPr="00BB0BE3" w14:paraId="2845FE77" w14:textId="77777777" w:rsidTr="00A64A03">
        <w:tc>
          <w:tcPr>
            <w:tcW w:w="1548" w:type="dxa"/>
          </w:tcPr>
          <w:p w14:paraId="1981E03A" w14:textId="77777777" w:rsidR="001C73BF" w:rsidRPr="00BB0BE3" w:rsidRDefault="001C73BF" w:rsidP="00A64A03">
            <w:pPr>
              <w:pStyle w:val="BodyText"/>
              <w:spacing w:before="32"/>
              <w:jc w:val="right"/>
              <w:rPr>
                <w:sz w:val="24"/>
                <w:szCs w:val="24"/>
              </w:rPr>
            </w:pPr>
            <w:r w:rsidRPr="00BB0BE3">
              <w:rPr>
                <w:sz w:val="24"/>
                <w:szCs w:val="24"/>
              </w:rPr>
              <w:t>Indicator</w:t>
            </w:r>
          </w:p>
        </w:tc>
        <w:tc>
          <w:tcPr>
            <w:tcW w:w="8128" w:type="dxa"/>
          </w:tcPr>
          <w:p w14:paraId="2683C5BF" w14:textId="6E0B5E9F" w:rsidR="001C73BF" w:rsidRPr="00BB0BE3" w:rsidRDefault="00B52400" w:rsidP="00A64A03">
            <w:pPr>
              <w:pStyle w:val="BodyText"/>
              <w:spacing w:before="32"/>
              <w:rPr>
                <w:sz w:val="24"/>
                <w:szCs w:val="24"/>
              </w:rPr>
            </w:pPr>
            <w:r w:rsidRPr="00B52400">
              <w:rPr>
                <w:sz w:val="24"/>
                <w:szCs w:val="24"/>
              </w:rPr>
              <w:t>Number of participants reporting increased confidence in accessing, interpreting, and applying data to inform local decision-making.</w:t>
            </w:r>
          </w:p>
        </w:tc>
      </w:tr>
      <w:tr w:rsidR="001C73BF" w:rsidRPr="00BB0BE3" w14:paraId="77898EE5" w14:textId="77777777" w:rsidTr="00A64A03">
        <w:tc>
          <w:tcPr>
            <w:tcW w:w="1548" w:type="dxa"/>
          </w:tcPr>
          <w:p w14:paraId="203FD90C" w14:textId="77777777" w:rsidR="001C73BF" w:rsidRPr="00BB0BE3" w:rsidRDefault="001C73BF" w:rsidP="00A64A03">
            <w:pPr>
              <w:pStyle w:val="BodyText"/>
              <w:spacing w:before="32"/>
              <w:jc w:val="right"/>
              <w:rPr>
                <w:sz w:val="24"/>
                <w:szCs w:val="24"/>
              </w:rPr>
            </w:pPr>
            <w:r w:rsidRPr="00BB0BE3">
              <w:rPr>
                <w:sz w:val="24"/>
                <w:szCs w:val="24"/>
              </w:rPr>
              <w:t>Method</w:t>
            </w:r>
          </w:p>
        </w:tc>
        <w:tc>
          <w:tcPr>
            <w:tcW w:w="8128" w:type="dxa"/>
          </w:tcPr>
          <w:p w14:paraId="4C767594" w14:textId="768E6651" w:rsidR="001C73BF" w:rsidRPr="00BB0BE3" w:rsidRDefault="00B52400" w:rsidP="00A64A03">
            <w:pPr>
              <w:pStyle w:val="BodyText"/>
              <w:spacing w:before="32"/>
              <w:rPr>
                <w:sz w:val="24"/>
                <w:szCs w:val="24"/>
              </w:rPr>
            </w:pPr>
            <w:r w:rsidRPr="00B52400">
              <w:rPr>
                <w:sz w:val="24"/>
                <w:szCs w:val="24"/>
              </w:rPr>
              <w:t>Self-reported surveys collected after data literacy training sessions, Agent documentation of community plans, grant applications, or policy discussions that reference data profiles.</w:t>
            </w:r>
          </w:p>
        </w:tc>
      </w:tr>
      <w:tr w:rsidR="001C73BF" w:rsidRPr="00BB0BE3" w14:paraId="0F670F7B" w14:textId="77777777" w:rsidTr="00A64A03">
        <w:tc>
          <w:tcPr>
            <w:tcW w:w="1548" w:type="dxa"/>
          </w:tcPr>
          <w:p w14:paraId="733BE91D" w14:textId="77777777" w:rsidR="001C73BF" w:rsidRPr="00BB0BE3" w:rsidRDefault="001C73BF" w:rsidP="00A64A03">
            <w:pPr>
              <w:pStyle w:val="BodyText"/>
              <w:spacing w:before="32"/>
              <w:jc w:val="right"/>
              <w:rPr>
                <w:sz w:val="24"/>
                <w:szCs w:val="24"/>
              </w:rPr>
            </w:pPr>
            <w:r w:rsidRPr="00BB0BE3">
              <w:rPr>
                <w:sz w:val="24"/>
                <w:szCs w:val="24"/>
              </w:rPr>
              <w:t>Timeline</w:t>
            </w:r>
          </w:p>
        </w:tc>
        <w:tc>
          <w:tcPr>
            <w:tcW w:w="8128" w:type="dxa"/>
          </w:tcPr>
          <w:p w14:paraId="5C6AFC8A" w14:textId="4E4B49D8" w:rsidR="001C73BF" w:rsidRPr="00BB0BE3" w:rsidRDefault="00B52400" w:rsidP="00A64A03">
            <w:pPr>
              <w:pStyle w:val="BodyText"/>
              <w:spacing w:before="32"/>
              <w:rPr>
                <w:sz w:val="24"/>
                <w:szCs w:val="24"/>
              </w:rPr>
            </w:pPr>
            <w:r w:rsidRPr="00B52400">
              <w:rPr>
                <w:sz w:val="24"/>
                <w:szCs w:val="24"/>
              </w:rPr>
              <w:t>after program or training participation</w:t>
            </w:r>
          </w:p>
        </w:tc>
      </w:tr>
    </w:tbl>
    <w:p w14:paraId="1BBB8C5E" w14:textId="77777777" w:rsidR="001C73BF" w:rsidRDefault="001C73BF" w:rsidP="00BB0BE3">
      <w:pPr>
        <w:pStyle w:val="NoSpacing"/>
        <w:rPr>
          <w:rFonts w:ascii="Arial" w:hAnsi="Arial" w:cs="Arial"/>
          <w:u w:val="single"/>
        </w:rPr>
      </w:pPr>
    </w:p>
    <w:p w14:paraId="60B1E254" w14:textId="77777777" w:rsidR="001C73BF" w:rsidRDefault="001C73BF" w:rsidP="00BB0BE3">
      <w:pPr>
        <w:pStyle w:val="NoSpacing"/>
        <w:rPr>
          <w:rFonts w:ascii="Arial" w:hAnsi="Arial" w:cs="Arial"/>
          <w:u w:val="single"/>
        </w:rPr>
      </w:pPr>
    </w:p>
    <w:p w14:paraId="45E99DD7" w14:textId="4DB3E4DA" w:rsidR="004510C3" w:rsidRDefault="004510C3" w:rsidP="00BB0BE3">
      <w:pPr>
        <w:pStyle w:val="NoSpacing"/>
        <w:rPr>
          <w:rFonts w:ascii="Arial" w:hAnsi="Arial" w:cs="Arial"/>
          <w:u w:val="single"/>
        </w:rPr>
      </w:pPr>
      <w:r w:rsidRPr="004510C3">
        <w:rPr>
          <w:rFonts w:ascii="Arial" w:hAnsi="Arial" w:cs="Arial"/>
          <w:u w:val="single"/>
        </w:rPr>
        <w:t>Data Sources (select any/all that apply)</w:t>
      </w:r>
    </w:p>
    <w:p w14:paraId="7A67F7E6" w14:textId="77777777" w:rsidR="004510C3" w:rsidRPr="004510C3" w:rsidRDefault="004510C3" w:rsidP="00BB0BE3">
      <w:pPr>
        <w:pStyle w:val="NoSpacing"/>
        <w:rPr>
          <w:rFonts w:ascii="Arial" w:hAnsi="Arial" w:cs="Arial"/>
          <w:u w:val="single"/>
        </w:rPr>
      </w:pPr>
    </w:p>
    <w:p w14:paraId="33170754" w14:textId="1281986E" w:rsidR="004510C3" w:rsidRDefault="004510C3" w:rsidP="00BB0BE3">
      <w:pPr>
        <w:pStyle w:val="NoSpacing"/>
        <w:rPr>
          <w:rFonts w:ascii="Arial" w:hAnsi="Arial" w:cs="Arial"/>
        </w:rPr>
      </w:pPr>
      <w:r>
        <w:rPr>
          <w:rFonts w:ascii="Arial" w:hAnsi="Arial" w:cs="Arial"/>
        </w:rPr>
        <w:tab/>
        <w:t>Extension Community Needs Assessment – Data Dashboard</w:t>
      </w:r>
    </w:p>
    <w:p w14:paraId="65E96E06" w14:textId="4BB60801" w:rsidR="004510C3" w:rsidRDefault="004510C3" w:rsidP="00BB0BE3">
      <w:pPr>
        <w:pStyle w:val="NoSpacing"/>
        <w:rPr>
          <w:rFonts w:ascii="Arial" w:hAnsi="Arial" w:cs="Arial"/>
        </w:rPr>
      </w:pPr>
      <w:r>
        <w:rPr>
          <w:rFonts w:ascii="Arial" w:hAnsi="Arial" w:cs="Arial"/>
        </w:rPr>
        <w:tab/>
        <w:t>Extension Community Needs Assessment – Respondent Comment Summaries</w:t>
      </w:r>
    </w:p>
    <w:p w14:paraId="2A150AE7" w14:textId="6B55088A" w:rsidR="004510C3" w:rsidRDefault="004510C3" w:rsidP="00BB0BE3">
      <w:pPr>
        <w:pStyle w:val="NoSpacing"/>
        <w:rPr>
          <w:rFonts w:ascii="Arial" w:hAnsi="Arial" w:cs="Arial"/>
        </w:rPr>
      </w:pPr>
      <w:r>
        <w:rPr>
          <w:rFonts w:ascii="Arial" w:hAnsi="Arial" w:cs="Arial"/>
        </w:rPr>
        <w:tab/>
        <w:t>Kentucky by the Numbers – Secondary Data for the Community Needs</w:t>
      </w:r>
      <w:r>
        <w:rPr>
          <w:rFonts w:ascii="Arial" w:hAnsi="Arial" w:cs="Arial"/>
        </w:rPr>
        <w:tab/>
      </w:r>
      <w:r>
        <w:rPr>
          <w:rFonts w:ascii="Arial" w:hAnsi="Arial" w:cs="Arial"/>
        </w:rPr>
        <w:tab/>
      </w:r>
      <w:r>
        <w:rPr>
          <w:rFonts w:ascii="Arial" w:hAnsi="Arial" w:cs="Arial"/>
        </w:rPr>
        <w:tab/>
      </w:r>
      <w:r>
        <w:rPr>
          <w:rFonts w:ascii="Arial" w:hAnsi="Arial" w:cs="Arial"/>
        </w:rPr>
        <w:tab/>
        <w:t>Assessment</w:t>
      </w:r>
    </w:p>
    <w:p w14:paraId="7145A028" w14:textId="3B84FB27" w:rsidR="004510C3" w:rsidRDefault="004510C3" w:rsidP="00BB0BE3">
      <w:pPr>
        <w:pStyle w:val="NoSpacing"/>
        <w:rPr>
          <w:rFonts w:ascii="Arial" w:hAnsi="Arial" w:cs="Arial"/>
        </w:rPr>
      </w:pPr>
      <w:r>
        <w:rPr>
          <w:rFonts w:ascii="Arial" w:hAnsi="Arial" w:cs="Arial"/>
        </w:rPr>
        <w:tab/>
        <w:t>Kentucky by the Numbers Data Profiles</w:t>
      </w:r>
    </w:p>
    <w:p w14:paraId="6585D530" w14:textId="7A389F47" w:rsidR="004510C3" w:rsidRDefault="004510C3" w:rsidP="00BB0BE3">
      <w:pPr>
        <w:pStyle w:val="NoSpacing"/>
        <w:rPr>
          <w:rFonts w:ascii="Arial" w:hAnsi="Arial" w:cs="Arial"/>
        </w:rPr>
      </w:pPr>
      <w:r>
        <w:rPr>
          <w:rFonts w:ascii="Arial" w:hAnsi="Arial" w:cs="Arial"/>
        </w:rPr>
        <w:tab/>
        <w:t>CEDIK County Data Profiles</w:t>
      </w:r>
    </w:p>
    <w:p w14:paraId="2C237F50" w14:textId="77777777" w:rsidR="004510C3" w:rsidRDefault="004510C3" w:rsidP="00BB0BE3">
      <w:pPr>
        <w:pStyle w:val="NoSpacing"/>
        <w:rPr>
          <w:rFonts w:ascii="Arial" w:hAnsi="Arial" w:cs="Arial"/>
        </w:rPr>
      </w:pPr>
    </w:p>
    <w:p w14:paraId="056D59CC" w14:textId="07FAB7A9" w:rsidR="00BB0BE3" w:rsidRPr="004510C3" w:rsidRDefault="007063CC" w:rsidP="00BB0BE3">
      <w:pPr>
        <w:pStyle w:val="NoSpacing"/>
        <w:rPr>
          <w:rFonts w:ascii="Arial" w:hAnsi="Arial" w:cs="Arial"/>
          <w:b/>
          <w:bCs/>
        </w:rPr>
      </w:pPr>
      <w:r w:rsidRPr="004510C3">
        <w:rPr>
          <w:rFonts w:ascii="Arial" w:hAnsi="Arial" w:cs="Arial"/>
          <w:b/>
          <w:bCs/>
        </w:rPr>
        <w:t xml:space="preserve">Concentrations (select </w:t>
      </w:r>
      <w:r w:rsidR="006E0D6C" w:rsidRPr="004510C3">
        <w:rPr>
          <w:rFonts w:ascii="Arial" w:hAnsi="Arial" w:cs="Arial"/>
          <w:b/>
          <w:bCs/>
        </w:rPr>
        <w:t>up to 4</w:t>
      </w:r>
      <w:r w:rsidR="00960141" w:rsidRPr="004510C3">
        <w:rPr>
          <w:rFonts w:ascii="Arial" w:hAnsi="Arial" w:cs="Arial"/>
          <w:b/>
          <w:bCs/>
        </w:rPr>
        <w:t xml:space="preserve"> – copy and paste your selection in the concentration section above</w:t>
      </w:r>
      <w:r w:rsidRPr="004510C3">
        <w:rPr>
          <w:rFonts w:ascii="Arial" w:hAnsi="Arial" w:cs="Arial"/>
          <w:b/>
          <w:bCs/>
        </w:rPr>
        <w:t xml:space="preserve">) </w:t>
      </w:r>
    </w:p>
    <w:p w14:paraId="39793D9D" w14:textId="77777777" w:rsidR="00090B9F" w:rsidRDefault="00090B9F" w:rsidP="00BB0BE3">
      <w:pPr>
        <w:pStyle w:val="NoSpacing"/>
        <w:rPr>
          <w:rFonts w:ascii="Arial" w:hAnsi="Arial" w:cs="Arial"/>
        </w:rPr>
      </w:pPr>
    </w:p>
    <w:p w14:paraId="07DCB0F5" w14:textId="234AF414" w:rsidR="00090B9F" w:rsidRPr="00090B9F" w:rsidRDefault="00090B9F" w:rsidP="00090B9F">
      <w:pPr>
        <w:pStyle w:val="NoSpacing"/>
      </w:pPr>
      <w:r w:rsidRPr="00090B9F">
        <w:t>Animal Production and Management</w:t>
      </w:r>
    </w:p>
    <w:p w14:paraId="395E90E1" w14:textId="6F0D2D76" w:rsidR="00090B9F" w:rsidRPr="00090B9F" w:rsidRDefault="00090B9F" w:rsidP="00090B9F">
      <w:pPr>
        <w:pStyle w:val="NoSpacing"/>
      </w:pPr>
      <w:r w:rsidRPr="00090B9F">
        <w:t>Plant Production and Management</w:t>
      </w:r>
    </w:p>
    <w:p w14:paraId="2C572827" w14:textId="569B9C61" w:rsidR="00090B9F" w:rsidRPr="00090B9F" w:rsidRDefault="00090B9F" w:rsidP="00090B9F">
      <w:pPr>
        <w:pStyle w:val="NoSpacing"/>
      </w:pPr>
      <w:r w:rsidRPr="00090B9F">
        <w:t>Sustainability, Natural Resources and Wildlife Management, and Environment</w:t>
      </w:r>
    </w:p>
    <w:p w14:paraId="342F5EF5" w14:textId="7A049915" w:rsidR="00090B9F" w:rsidRPr="00090B9F" w:rsidRDefault="00090B9F" w:rsidP="00090B9F">
      <w:pPr>
        <w:pStyle w:val="NoSpacing"/>
      </w:pPr>
      <w:r w:rsidRPr="00090B9F">
        <w:t>Financial Security and Economic Well-Being</w:t>
      </w:r>
    </w:p>
    <w:p w14:paraId="693124A4" w14:textId="4827F118" w:rsidR="00090B9F" w:rsidRPr="00090B9F" w:rsidRDefault="00090B9F" w:rsidP="00090B9F">
      <w:pPr>
        <w:pStyle w:val="NoSpacing"/>
      </w:pPr>
      <w:r w:rsidRPr="00090B9F">
        <w:t>Food Safety, Quality, and Access</w:t>
      </w:r>
    </w:p>
    <w:p w14:paraId="44F50A8A" w14:textId="574311D3" w:rsidR="00090B9F" w:rsidRPr="00090B9F" w:rsidRDefault="00090B9F" w:rsidP="00090B9F">
      <w:pPr>
        <w:pStyle w:val="NoSpacing"/>
      </w:pPr>
      <w:r w:rsidRPr="00090B9F">
        <w:t>Connected &amp; Resilient Communities</w:t>
      </w:r>
    </w:p>
    <w:p w14:paraId="70EC6140" w14:textId="2035B620" w:rsidR="00090B9F" w:rsidRPr="00090B9F" w:rsidRDefault="00090B9F" w:rsidP="00090B9F">
      <w:pPr>
        <w:pStyle w:val="NoSpacing"/>
      </w:pPr>
      <w:r w:rsidRPr="00090B9F">
        <w:t xml:space="preserve">Building Leadership Capacity </w:t>
      </w:r>
    </w:p>
    <w:p w14:paraId="57264C94" w14:textId="76ABB245" w:rsidR="00090B9F" w:rsidRPr="00090B9F" w:rsidRDefault="00090B9F" w:rsidP="00090B9F">
      <w:pPr>
        <w:pStyle w:val="NoSpacing"/>
      </w:pPr>
      <w:r w:rsidRPr="00090B9F">
        <w:t>Work and Life Skill Development</w:t>
      </w:r>
    </w:p>
    <w:p w14:paraId="13234B51" w14:textId="78B409B6" w:rsidR="00090B9F" w:rsidRPr="00090B9F" w:rsidRDefault="00090B9F" w:rsidP="00090B9F">
      <w:pPr>
        <w:pStyle w:val="NoSpacing"/>
      </w:pPr>
      <w:r w:rsidRPr="00090B9F">
        <w:t>Health and Wellbeing</w:t>
      </w:r>
    </w:p>
    <w:p w14:paraId="2EF6BA9B" w14:textId="1460CA5F" w:rsidR="00090B9F" w:rsidRPr="00090B9F" w:rsidRDefault="00090B9F" w:rsidP="00090B9F">
      <w:pPr>
        <w:pStyle w:val="NoSpacing"/>
      </w:pPr>
      <w:r w:rsidRPr="00090B9F">
        <w:t>Family and Youth Development</w:t>
      </w:r>
    </w:p>
    <w:p w14:paraId="4A619BA8" w14:textId="77777777" w:rsidR="00090B9F" w:rsidRPr="00090B9F" w:rsidRDefault="00090B9F" w:rsidP="00090B9F">
      <w:pPr>
        <w:pStyle w:val="NoSpacing"/>
      </w:pPr>
      <w:r w:rsidRPr="00090B9F">
        <w:t>Small Farm Development  </w:t>
      </w:r>
    </w:p>
    <w:p w14:paraId="1D9D6396" w14:textId="6D846B8A" w:rsidR="00090B9F" w:rsidRPr="00090B9F" w:rsidRDefault="00090B9F" w:rsidP="00090B9F">
      <w:pPr>
        <w:pStyle w:val="NoSpacing"/>
      </w:pPr>
      <w:r w:rsidRPr="00090B9F">
        <w:t>Substance Use Prevention and Recovery</w:t>
      </w:r>
    </w:p>
    <w:p w14:paraId="03943FE7" w14:textId="10F58BB2" w:rsidR="00090B9F" w:rsidRPr="00B52400" w:rsidRDefault="00090B9F" w:rsidP="00BB0BE3">
      <w:pPr>
        <w:pStyle w:val="NoSpacing"/>
      </w:pPr>
      <w:r w:rsidRPr="00090B9F">
        <w:t>Mental Health and Well-Being</w:t>
      </w:r>
    </w:p>
    <w:sectPr w:rsidR="00090B9F" w:rsidRPr="00B52400"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9888" w14:textId="77777777" w:rsidR="00E17331" w:rsidRDefault="00E17331" w:rsidP="00BB0BE3">
      <w:r>
        <w:separator/>
      </w:r>
    </w:p>
  </w:endnote>
  <w:endnote w:type="continuationSeparator" w:id="0">
    <w:p w14:paraId="78C57DA8" w14:textId="77777777" w:rsidR="00E17331" w:rsidRDefault="00E17331"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D231" w14:textId="77777777" w:rsidR="00E17331" w:rsidRDefault="00E17331" w:rsidP="00BB0BE3">
      <w:r>
        <w:separator/>
      </w:r>
    </w:p>
  </w:footnote>
  <w:footnote w:type="continuationSeparator" w:id="0">
    <w:p w14:paraId="0C60DF7D" w14:textId="77777777" w:rsidR="00E17331" w:rsidRDefault="00E17331"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421"/>
    <w:multiLevelType w:val="hybridMultilevel"/>
    <w:tmpl w:val="EC28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70759"/>
    <w:multiLevelType w:val="hybridMultilevel"/>
    <w:tmpl w:val="0572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A32DB"/>
    <w:multiLevelType w:val="hybridMultilevel"/>
    <w:tmpl w:val="5FE4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1D6F"/>
    <w:multiLevelType w:val="multilevel"/>
    <w:tmpl w:val="C76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656539"/>
    <w:multiLevelType w:val="hybridMultilevel"/>
    <w:tmpl w:val="234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345301">
    <w:abstractNumId w:val="3"/>
  </w:num>
  <w:num w:numId="2" w16cid:durableId="730229494">
    <w:abstractNumId w:val="1"/>
  </w:num>
  <w:num w:numId="3" w16cid:durableId="661202120">
    <w:abstractNumId w:val="4"/>
  </w:num>
  <w:num w:numId="4" w16cid:durableId="928272252">
    <w:abstractNumId w:val="0"/>
  </w:num>
  <w:num w:numId="5" w16cid:durableId="194623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1C73BF"/>
    <w:rsid w:val="00274F3B"/>
    <w:rsid w:val="003762DD"/>
    <w:rsid w:val="003F7AD3"/>
    <w:rsid w:val="00433793"/>
    <w:rsid w:val="004510C3"/>
    <w:rsid w:val="004735F1"/>
    <w:rsid w:val="004820C7"/>
    <w:rsid w:val="004F0A7D"/>
    <w:rsid w:val="005736E7"/>
    <w:rsid w:val="005A1D68"/>
    <w:rsid w:val="006B2C55"/>
    <w:rsid w:val="006D0757"/>
    <w:rsid w:val="006E0D6C"/>
    <w:rsid w:val="00700972"/>
    <w:rsid w:val="007063CC"/>
    <w:rsid w:val="007D2817"/>
    <w:rsid w:val="00872C0C"/>
    <w:rsid w:val="00920A82"/>
    <w:rsid w:val="00960141"/>
    <w:rsid w:val="00A55888"/>
    <w:rsid w:val="00A614FD"/>
    <w:rsid w:val="00AE2F39"/>
    <w:rsid w:val="00B52400"/>
    <w:rsid w:val="00BB0BE3"/>
    <w:rsid w:val="00C22BC2"/>
    <w:rsid w:val="00C27498"/>
    <w:rsid w:val="00D709E6"/>
    <w:rsid w:val="00E1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087">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1475023066">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732314540">
      <w:bodyDiv w:val="1"/>
      <w:marLeft w:val="0"/>
      <w:marRight w:val="0"/>
      <w:marTop w:val="0"/>
      <w:marBottom w:val="0"/>
      <w:divBdr>
        <w:top w:val="none" w:sz="0" w:space="0" w:color="auto"/>
        <w:left w:val="none" w:sz="0" w:space="0" w:color="auto"/>
        <w:bottom w:val="none" w:sz="0" w:space="0" w:color="auto"/>
        <w:right w:val="none" w:sz="0" w:space="0" w:color="auto"/>
      </w:divBdr>
    </w:div>
    <w:div w:id="17933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3</cp:revision>
  <dcterms:created xsi:type="dcterms:W3CDTF">2025-03-09T19:04:00Z</dcterms:created>
  <dcterms:modified xsi:type="dcterms:W3CDTF">2025-03-09T19:19:00Z</dcterms:modified>
</cp:coreProperties>
</file>